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theme/theme1.xml" ContentType="application/vnd.openxmlformats-officedocument.theme+xml"/>
  <Override PartName="/word/charts/chart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680"/>
      </w:tblGrid>
      <w:tr w:rsidR="00133F71" w:rsidRPr="009605FD" w14:paraId="0952653B" w14:textId="77777777" w:rsidTr="00EF0061">
        <w:tc>
          <w:tcPr>
            <w:tcW w:w="2257" w:type="pct"/>
            <w:tcBorders>
              <w:top w:val="nil"/>
              <w:left w:val="nil"/>
              <w:bottom w:val="nil"/>
              <w:right w:val="nil"/>
            </w:tcBorders>
          </w:tcPr>
          <w:bookmarkStart w:id="0" w:name="_Hlk117261732"/>
          <w:bookmarkEnd w:id="0"/>
          <w:p w14:paraId="3382F2F6" w14:textId="5754EC8E" w:rsidR="00347EF0" w:rsidRPr="00C411F0" w:rsidRDefault="00347EF0" w:rsidP="00133F71">
            <w:pPr>
              <w:widowControl w:val="0"/>
              <w:tabs>
                <w:tab w:val="right" w:leader="dot" w:pos="7920"/>
              </w:tabs>
              <w:jc w:val="center"/>
              <w:rPr>
                <w:b/>
                <w:color w:val="000000" w:themeColor="text1"/>
                <w:sz w:val="26"/>
                <w:szCs w:val="26"/>
                <w:vertAlign w:val="superscript"/>
                <w:lang w:val="vi-VN"/>
              </w:rPr>
            </w:pPr>
            <w:r w:rsidRPr="00C411F0">
              <w:rPr>
                <w:b/>
                <w:noProof/>
                <w:color w:val="000000" w:themeColor="text1"/>
                <w:sz w:val="26"/>
                <w:szCs w:val="26"/>
              </w:rPr>
              <mc:AlternateContent>
                <mc:Choice Requires="wps">
                  <w:drawing>
                    <wp:anchor distT="0" distB="0" distL="114300" distR="114300" simplePos="0" relativeHeight="251660288" behindDoc="0" locked="0" layoutInCell="1" allowOverlap="1" wp14:anchorId="41EB49B5" wp14:editId="7A778C14">
                      <wp:simplePos x="0" y="0"/>
                      <wp:positionH relativeFrom="column">
                        <wp:posOffset>662940</wp:posOffset>
                      </wp:positionH>
                      <wp:positionV relativeFrom="paragraph">
                        <wp:posOffset>231775</wp:posOffset>
                      </wp:positionV>
                      <wp:extent cx="990600" cy="0"/>
                      <wp:effectExtent l="0" t="0" r="0" b="0"/>
                      <wp:wrapNone/>
                      <wp:docPr id="42" name="Line 13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A5DCD" id="Line 133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8.25pt" to="130.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">
                      <o:lock v:ext="edit" shapetype="f"/>
                    </v:line>
                  </w:pict>
                </mc:Fallback>
              </mc:AlternateContent>
            </w:r>
            <w:r w:rsidR="00133F71" w:rsidRPr="00C411F0">
              <w:rPr>
                <w:b/>
                <w:noProof/>
                <w:color w:val="000000" w:themeColor="text1"/>
                <w:sz w:val="26"/>
                <w:szCs w:val="26"/>
              </w:rPr>
              <w:t>BỘ</w:t>
            </w:r>
            <w:r w:rsidR="00133F71" w:rsidRPr="00C411F0">
              <w:rPr>
                <w:b/>
                <w:noProof/>
                <w:color w:val="000000" w:themeColor="text1"/>
                <w:sz w:val="26"/>
                <w:szCs w:val="26"/>
                <w:lang w:val="vi-VN"/>
              </w:rPr>
              <w:t xml:space="preserve"> TÀI NGUYÊN VÀ MÔI TRƯỜNG</w:t>
            </w:r>
          </w:p>
        </w:tc>
        <w:tc>
          <w:tcPr>
            <w:tcW w:w="2743" w:type="pct"/>
            <w:tcBorders>
              <w:top w:val="nil"/>
              <w:left w:val="nil"/>
              <w:bottom w:val="nil"/>
              <w:right w:val="nil"/>
            </w:tcBorders>
          </w:tcPr>
          <w:p w14:paraId="41AF9E22" w14:textId="77777777" w:rsidR="00347EF0" w:rsidRPr="009605FD" w:rsidRDefault="00347EF0" w:rsidP="00EF0061">
            <w:pPr>
              <w:widowControl w:val="0"/>
              <w:tabs>
                <w:tab w:val="right" w:leader="dot" w:pos="7920"/>
              </w:tabs>
              <w:jc w:val="center"/>
              <w:rPr>
                <w:color w:val="000000" w:themeColor="text1"/>
                <w:sz w:val="26"/>
                <w:szCs w:val="26"/>
                <w:vertAlign w:val="superscript"/>
                <w:lang w:val="vi-VN"/>
              </w:rPr>
            </w:pPr>
            <w:r w:rsidRPr="00C411F0">
              <w:rPr>
                <w:b/>
                <w:noProof/>
                <w:color w:val="000000" w:themeColor="text1"/>
                <w:sz w:val="26"/>
                <w:szCs w:val="26"/>
              </w:rPr>
              <mc:AlternateContent>
                <mc:Choice Requires="wps">
                  <w:drawing>
                    <wp:anchor distT="0" distB="0" distL="114300" distR="114300" simplePos="0" relativeHeight="251659264" behindDoc="0" locked="0" layoutInCell="1" allowOverlap="1" wp14:anchorId="5745C79C" wp14:editId="772A35E5">
                      <wp:simplePos x="0" y="0"/>
                      <wp:positionH relativeFrom="column">
                        <wp:posOffset>755015</wp:posOffset>
                      </wp:positionH>
                      <wp:positionV relativeFrom="paragraph">
                        <wp:posOffset>393700</wp:posOffset>
                      </wp:positionV>
                      <wp:extent cx="1962150" cy="0"/>
                      <wp:effectExtent l="0" t="0" r="19050" b="19050"/>
                      <wp:wrapNone/>
                      <wp:docPr id="41" name="Line 1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DBDC64" id="Line 133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31pt" to="21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">
                      <o:lock v:ext="edit" shapetype="f"/>
                    </v:line>
                  </w:pict>
                </mc:Fallback>
              </mc:AlternateContent>
            </w:r>
            <w:r w:rsidRPr="009605FD">
              <w:rPr>
                <w:b/>
                <w:color w:val="000000" w:themeColor="text1"/>
                <w:sz w:val="26"/>
                <w:szCs w:val="26"/>
                <w:lang w:val="vi-VN"/>
              </w:rPr>
              <w:t>CỘNG HÒA XÃ HỘI CHỦ NGHĨA VIỆT NAM</w:t>
            </w:r>
            <w:r w:rsidRPr="009605FD">
              <w:rPr>
                <w:b/>
                <w:color w:val="000000" w:themeColor="text1"/>
                <w:sz w:val="26"/>
                <w:szCs w:val="26"/>
                <w:lang w:val="vi-VN"/>
              </w:rPr>
              <w:br/>
              <w:t xml:space="preserve">Độc lập - Tự do - Hạnh phúc </w:t>
            </w:r>
            <w:r w:rsidRPr="009605FD">
              <w:rPr>
                <w:b/>
                <w:color w:val="000000" w:themeColor="text1"/>
                <w:sz w:val="26"/>
                <w:szCs w:val="26"/>
                <w:lang w:val="vi-VN"/>
              </w:rPr>
              <w:br/>
            </w:r>
          </w:p>
        </w:tc>
      </w:tr>
      <w:tr w:rsidR="00133F71" w:rsidRPr="00C411F0" w14:paraId="13F0BFD7" w14:textId="77777777" w:rsidTr="00EF0061">
        <w:trPr>
          <w:trHeight w:val="80"/>
        </w:trPr>
        <w:tc>
          <w:tcPr>
            <w:tcW w:w="2257" w:type="pct"/>
            <w:tcBorders>
              <w:top w:val="nil"/>
              <w:left w:val="nil"/>
              <w:bottom w:val="nil"/>
              <w:right w:val="nil"/>
            </w:tcBorders>
          </w:tcPr>
          <w:p w14:paraId="39024AF8" w14:textId="09ADB162" w:rsidR="00347EF0" w:rsidRPr="00C411F0" w:rsidRDefault="00347EF0" w:rsidP="00EF0061">
            <w:pPr>
              <w:widowControl w:val="0"/>
              <w:tabs>
                <w:tab w:val="right" w:leader="dot" w:pos="7920"/>
              </w:tabs>
              <w:jc w:val="center"/>
              <w:rPr>
                <w:i/>
                <w:iCs/>
                <w:color w:val="000000" w:themeColor="text1"/>
                <w:sz w:val="26"/>
                <w:szCs w:val="26"/>
              </w:rPr>
            </w:pPr>
          </w:p>
        </w:tc>
        <w:tc>
          <w:tcPr>
            <w:tcW w:w="2743" w:type="pct"/>
            <w:tcBorders>
              <w:top w:val="nil"/>
              <w:left w:val="nil"/>
              <w:bottom w:val="nil"/>
              <w:right w:val="nil"/>
            </w:tcBorders>
          </w:tcPr>
          <w:p w14:paraId="2802F153" w14:textId="1BEAF1BC" w:rsidR="00347EF0" w:rsidRPr="00C411F0" w:rsidRDefault="00133F71" w:rsidP="00EF0061">
            <w:pPr>
              <w:widowControl w:val="0"/>
              <w:tabs>
                <w:tab w:val="right" w:leader="dot" w:pos="7920"/>
              </w:tabs>
              <w:jc w:val="center"/>
              <w:rPr>
                <w:i/>
                <w:iCs/>
                <w:color w:val="000000" w:themeColor="text1"/>
                <w:sz w:val="26"/>
                <w:szCs w:val="26"/>
                <w:lang w:val="vi-VN"/>
              </w:rPr>
            </w:pPr>
            <w:r w:rsidRPr="00C411F0">
              <w:rPr>
                <w:i/>
                <w:color w:val="000000" w:themeColor="text1"/>
                <w:sz w:val="26"/>
                <w:szCs w:val="26"/>
              </w:rPr>
              <w:t>Hà</w:t>
            </w:r>
            <w:r w:rsidRPr="00C411F0">
              <w:rPr>
                <w:i/>
                <w:color w:val="000000" w:themeColor="text1"/>
                <w:sz w:val="26"/>
                <w:szCs w:val="26"/>
                <w:lang w:val="vi-VN"/>
              </w:rPr>
              <w:t xml:space="preserve"> Nội</w:t>
            </w:r>
            <w:r w:rsidR="00347EF0" w:rsidRPr="00C411F0">
              <w:rPr>
                <w:i/>
                <w:color w:val="000000" w:themeColor="text1"/>
                <w:sz w:val="26"/>
                <w:szCs w:val="26"/>
              </w:rPr>
              <w:t>, ngày</w:t>
            </w:r>
            <w:r w:rsidR="002E1679" w:rsidRPr="00C411F0">
              <w:rPr>
                <w:i/>
                <w:color w:val="000000" w:themeColor="text1"/>
                <w:sz w:val="26"/>
                <w:szCs w:val="26"/>
                <w:lang w:val="vi-VN"/>
              </w:rPr>
              <w:t xml:space="preserve">      </w:t>
            </w:r>
            <w:r w:rsidR="00347EF0" w:rsidRPr="00C411F0">
              <w:rPr>
                <w:i/>
                <w:color w:val="000000" w:themeColor="text1"/>
                <w:sz w:val="26"/>
                <w:szCs w:val="26"/>
              </w:rPr>
              <w:t xml:space="preserve"> tháng</w:t>
            </w:r>
            <w:r w:rsidR="002E1679" w:rsidRPr="00C411F0">
              <w:rPr>
                <w:i/>
                <w:color w:val="000000" w:themeColor="text1"/>
                <w:sz w:val="26"/>
                <w:szCs w:val="26"/>
                <w:lang w:val="vi-VN"/>
              </w:rPr>
              <w:t xml:space="preserve">     </w:t>
            </w:r>
            <w:r w:rsidR="00347EF0" w:rsidRPr="00C411F0">
              <w:rPr>
                <w:i/>
                <w:color w:val="000000" w:themeColor="text1"/>
                <w:sz w:val="26"/>
                <w:szCs w:val="26"/>
              </w:rPr>
              <w:t xml:space="preserve"> năm 20</w:t>
            </w:r>
            <w:r w:rsidR="002E1679" w:rsidRPr="00C411F0">
              <w:rPr>
                <w:i/>
                <w:color w:val="000000" w:themeColor="text1"/>
                <w:sz w:val="26"/>
                <w:szCs w:val="26"/>
                <w:lang w:val="vi-VN"/>
              </w:rPr>
              <w:t>22</w:t>
            </w:r>
          </w:p>
        </w:tc>
      </w:tr>
    </w:tbl>
    <w:p w14:paraId="15FC67E9" w14:textId="77777777" w:rsidR="00347EF0" w:rsidRPr="00C411F0" w:rsidRDefault="00347EF0" w:rsidP="00347EF0">
      <w:pPr>
        <w:widowControl w:val="0"/>
        <w:tabs>
          <w:tab w:val="right" w:leader="dot" w:pos="7920"/>
        </w:tabs>
        <w:spacing w:line="376" w:lineRule="exact"/>
        <w:jc w:val="center"/>
        <w:rPr>
          <w:b/>
          <w:color w:val="000000" w:themeColor="text1"/>
        </w:rPr>
      </w:pPr>
    </w:p>
    <w:p w14:paraId="0F2B1018" w14:textId="4B3BD40A" w:rsidR="00347EF0" w:rsidRPr="00C411F0" w:rsidRDefault="00347EF0" w:rsidP="007054F5">
      <w:pPr>
        <w:widowControl w:val="0"/>
        <w:tabs>
          <w:tab w:val="right" w:leader="dot" w:pos="7920"/>
        </w:tabs>
        <w:spacing w:before="120" w:after="120" w:line="340" w:lineRule="exact"/>
        <w:jc w:val="center"/>
        <w:rPr>
          <w:b/>
          <w:color w:val="000000" w:themeColor="text1"/>
        </w:rPr>
      </w:pPr>
      <w:r w:rsidRPr="00C411F0">
        <w:rPr>
          <w:b/>
          <w:color w:val="000000" w:themeColor="text1"/>
        </w:rPr>
        <w:t xml:space="preserve">BÁO CÁO </w:t>
      </w:r>
    </w:p>
    <w:p w14:paraId="6636B77B" w14:textId="77777777" w:rsidR="00853102" w:rsidRPr="00C411F0" w:rsidRDefault="00347EF0" w:rsidP="007054F5">
      <w:pPr>
        <w:spacing w:before="120" w:after="120" w:line="340" w:lineRule="exact"/>
        <w:ind w:left="-90" w:right="-331"/>
        <w:jc w:val="center"/>
        <w:rPr>
          <w:b/>
          <w:color w:val="000000" w:themeColor="text1"/>
        </w:rPr>
      </w:pPr>
      <w:r w:rsidRPr="00C411F0">
        <w:rPr>
          <w:b/>
          <w:color w:val="000000" w:themeColor="text1"/>
        </w:rPr>
        <w:t>ĐÁNH GIÁ TÁC ĐỘNG CỦA CHÍNH SÁCH</w:t>
      </w:r>
    </w:p>
    <w:p w14:paraId="2193BBF4" w14:textId="1D41359A" w:rsidR="004B72FA" w:rsidRDefault="004B72FA" w:rsidP="007054F5">
      <w:pPr>
        <w:spacing w:before="120" w:after="120" w:line="340" w:lineRule="exact"/>
        <w:jc w:val="center"/>
        <w:rPr>
          <w:b/>
          <w:color w:val="000000" w:themeColor="text1"/>
        </w:rPr>
      </w:pPr>
      <w:r>
        <w:rPr>
          <w:b/>
          <w:color w:val="000000" w:themeColor="text1"/>
        </w:rPr>
        <w:t>(</w:t>
      </w:r>
      <w:r w:rsidR="00853102" w:rsidRPr="00C411F0">
        <w:rPr>
          <w:b/>
          <w:color w:val="000000" w:themeColor="text1"/>
          <w:lang w:val="vi-VN"/>
        </w:rPr>
        <w:t xml:space="preserve">Quyết định </w:t>
      </w:r>
      <w:r>
        <w:rPr>
          <w:b/>
          <w:color w:val="000000" w:themeColor="text1"/>
        </w:rPr>
        <w:t xml:space="preserve">của </w:t>
      </w:r>
      <w:r w:rsidR="00853102" w:rsidRPr="00C411F0">
        <w:rPr>
          <w:b/>
          <w:color w:val="000000" w:themeColor="text1"/>
          <w:lang w:val="vi-VN"/>
        </w:rPr>
        <w:t xml:space="preserve">Thủ tướng Chính phủ </w:t>
      </w:r>
      <w:r w:rsidR="003F5009" w:rsidRPr="009F5FFE">
        <w:rPr>
          <w:b/>
          <w:color w:val="000000" w:themeColor="text1"/>
        </w:rPr>
        <w:t xml:space="preserve">ban hành </w:t>
      </w:r>
    </w:p>
    <w:p w14:paraId="6408050A" w14:textId="77777777" w:rsidR="004B72FA" w:rsidRDefault="003F5009" w:rsidP="007054F5">
      <w:pPr>
        <w:spacing w:before="120" w:after="120" w:line="340" w:lineRule="exact"/>
        <w:jc w:val="center"/>
        <w:rPr>
          <w:b/>
          <w:color w:val="000000" w:themeColor="text1"/>
        </w:rPr>
      </w:pPr>
      <w:r w:rsidRPr="00A41810">
        <w:rPr>
          <w:b/>
          <w:noProof/>
          <w:color w:val="000000" w:themeColor="text1"/>
        </w:rPr>
        <mc:AlternateContent>
          <mc:Choice Requires="wps">
            <w:drawing>
              <wp:anchor distT="0" distB="0" distL="114300" distR="114300" simplePos="0" relativeHeight="251676672" behindDoc="0" locked="0" layoutInCell="1" hidden="0" allowOverlap="1" wp14:anchorId="0E3852C2" wp14:editId="21CB956D">
                <wp:simplePos x="0" y="0"/>
                <wp:positionH relativeFrom="column">
                  <wp:posOffset>2209800</wp:posOffset>
                </wp:positionH>
                <wp:positionV relativeFrom="paragraph">
                  <wp:posOffset>749300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04AC05" id="_x0000_t32" coordsize="21600,21600" o:spt="32" o:oned="t" path="m,l21600,21600e" filled="f">
                <v:path arrowok="t" fillok="f" o:connecttype="none"/>
                <o:lock v:ext="edit" shapetype="t"/>
              </v:shapetype>
              <v:shape id="Straight Arrow Connector 12" o:spid="_x0000_s1026" type="#_x0000_t32" style="position:absolute;margin-left:174pt;margin-top:59pt;width:0;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"/>
            </w:pict>
          </mc:Fallback>
        </mc:AlternateContent>
      </w:r>
      <w:r>
        <w:rPr>
          <w:b/>
          <w:color w:val="000000" w:themeColor="text1"/>
        </w:rPr>
        <w:t>Q</w:t>
      </w:r>
      <w:r w:rsidRPr="009F5FFE">
        <w:rPr>
          <w:b/>
          <w:color w:val="000000" w:themeColor="text1"/>
        </w:rPr>
        <w:t>uy định tiêu chí môi trường và việc xác nhận đối với dự án</w:t>
      </w:r>
      <w:r w:rsidR="004B72FA">
        <w:rPr>
          <w:b/>
          <w:color w:val="000000" w:themeColor="text1"/>
        </w:rPr>
        <w:t xml:space="preserve"> </w:t>
      </w:r>
    </w:p>
    <w:p w14:paraId="5A17F0A6" w14:textId="77777777" w:rsidR="003F5009" w:rsidRPr="009F5FFE" w:rsidRDefault="003F5009" w:rsidP="007054F5">
      <w:pPr>
        <w:spacing w:before="120" w:after="120" w:line="340" w:lineRule="exact"/>
        <w:jc w:val="center"/>
        <w:rPr>
          <w:b/>
          <w:color w:val="000000" w:themeColor="text1"/>
        </w:rPr>
      </w:pPr>
      <w:r w:rsidRPr="009F5FFE">
        <w:rPr>
          <w:b/>
          <w:color w:val="000000" w:themeColor="text1"/>
        </w:rPr>
        <w:t>được cấp tín dụng xanh, phát hành trái phiếu xanh</w:t>
      </w:r>
    </w:p>
    <w:p w14:paraId="6C6AC410" w14:textId="4660C058" w:rsidR="00347EF0" w:rsidRPr="009605FD" w:rsidRDefault="00347EF0" w:rsidP="007054F5">
      <w:pPr>
        <w:widowControl w:val="0"/>
        <w:tabs>
          <w:tab w:val="right" w:leader="dot" w:pos="7920"/>
        </w:tabs>
        <w:spacing w:before="120" w:after="120" w:line="340" w:lineRule="exact"/>
        <w:jc w:val="center"/>
        <w:rPr>
          <w:b/>
          <w:color w:val="000000" w:themeColor="text1"/>
          <w:sz w:val="8"/>
          <w:vertAlign w:val="superscript"/>
          <w:lang w:val="nl-NL"/>
        </w:rPr>
      </w:pPr>
      <w:r w:rsidRPr="00C411F0">
        <w:rPr>
          <w:b/>
          <w:noProof/>
          <w:color w:val="000000" w:themeColor="text1"/>
          <w:sz w:val="8"/>
          <w:vertAlign w:val="superscript"/>
        </w:rPr>
        <mc:AlternateContent>
          <mc:Choice Requires="wps">
            <w:drawing>
              <wp:anchor distT="0" distB="0" distL="114300" distR="114300" simplePos="0" relativeHeight="251661312" behindDoc="0" locked="0" layoutInCell="1" allowOverlap="1" wp14:anchorId="5E5F98CF" wp14:editId="147612FF">
                <wp:simplePos x="0" y="0"/>
                <wp:positionH relativeFrom="column">
                  <wp:posOffset>2423160</wp:posOffset>
                </wp:positionH>
                <wp:positionV relativeFrom="paragraph">
                  <wp:posOffset>42545</wp:posOffset>
                </wp:positionV>
                <wp:extent cx="1162050" cy="0"/>
                <wp:effectExtent l="0" t="0" r="0" b="0"/>
                <wp:wrapNone/>
                <wp:docPr id="40" name="Line 13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78C2C0" id="Line 133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35pt" to="282.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">
                <o:lock v:ext="edit" shapetype="f"/>
              </v:line>
            </w:pict>
          </mc:Fallback>
        </mc:AlternateContent>
      </w:r>
    </w:p>
    <w:p w14:paraId="56F08E53" w14:textId="77777777" w:rsidR="00347EF0" w:rsidRPr="009605FD" w:rsidRDefault="00347EF0" w:rsidP="007054F5">
      <w:pPr>
        <w:widowControl w:val="0"/>
        <w:tabs>
          <w:tab w:val="right" w:leader="dot" w:pos="7920"/>
        </w:tabs>
        <w:spacing w:before="120" w:after="120" w:line="340" w:lineRule="exact"/>
        <w:ind w:firstLine="454"/>
        <w:jc w:val="both"/>
        <w:rPr>
          <w:b/>
          <w:color w:val="000000" w:themeColor="text1"/>
          <w:lang w:val="nl-NL"/>
        </w:rPr>
      </w:pPr>
      <w:r w:rsidRPr="009605FD">
        <w:rPr>
          <w:b/>
          <w:color w:val="000000" w:themeColor="text1"/>
          <w:lang w:val="nl-NL"/>
        </w:rPr>
        <w:t>I. XÁC ĐỊNH VẤN ĐỀ BẤT CẬP TỔNG QUAN</w:t>
      </w:r>
    </w:p>
    <w:p w14:paraId="0488C6F2" w14:textId="74FC76B0" w:rsidR="00347EF0" w:rsidRPr="009605FD" w:rsidRDefault="00347EF0" w:rsidP="007054F5">
      <w:pPr>
        <w:pStyle w:val="ListParagraph"/>
        <w:widowControl w:val="0"/>
        <w:numPr>
          <w:ilvl w:val="0"/>
          <w:numId w:val="2"/>
        </w:numPr>
        <w:tabs>
          <w:tab w:val="right" w:leader="dot" w:pos="7920"/>
        </w:tabs>
        <w:spacing w:before="120" w:after="120" w:line="340" w:lineRule="exact"/>
        <w:jc w:val="both"/>
        <w:rPr>
          <w:b/>
          <w:color w:val="000000" w:themeColor="text1"/>
          <w:lang w:val="nl-NL"/>
        </w:rPr>
      </w:pPr>
      <w:r w:rsidRPr="009605FD">
        <w:rPr>
          <w:b/>
          <w:color w:val="000000" w:themeColor="text1"/>
          <w:lang w:val="nl-NL"/>
        </w:rPr>
        <w:t>Bối cảnh xây dựng chính sách</w:t>
      </w:r>
    </w:p>
    <w:p w14:paraId="764F5438" w14:textId="54D4361B" w:rsidR="007C1D87" w:rsidRPr="00C411F0" w:rsidRDefault="007C1D87">
      <w:pPr>
        <w:widowControl w:val="0"/>
        <w:spacing w:before="120" w:after="120" w:line="340" w:lineRule="exact"/>
        <w:ind w:firstLine="720"/>
        <w:jc w:val="both"/>
        <w:rPr>
          <w:color w:val="000000" w:themeColor="text1"/>
          <w:lang w:val="nl-NL"/>
        </w:rPr>
      </w:pPr>
      <w:r w:rsidRPr="00C411F0">
        <w:rPr>
          <w:color w:val="000000" w:themeColor="text1"/>
          <w:lang w:val="nl-NL"/>
        </w:rPr>
        <w:t xml:space="preserve">Luật Bảo vệ môi trường </w:t>
      </w:r>
      <w:r w:rsidR="004B72FA">
        <w:rPr>
          <w:color w:val="000000" w:themeColor="text1"/>
          <w:lang w:val="nl-NL"/>
        </w:rPr>
        <w:t xml:space="preserve">(BVMT) </w:t>
      </w:r>
      <w:r w:rsidRPr="00C411F0">
        <w:rPr>
          <w:color w:val="000000" w:themeColor="text1"/>
          <w:lang w:val="nl-NL"/>
        </w:rPr>
        <w:t>được Quốc hội thông qua ngày 17 tháng 11 năm 2020 và</w:t>
      </w:r>
      <w:r w:rsidR="001E6ECA" w:rsidRPr="00C411F0">
        <w:rPr>
          <w:color w:val="000000" w:themeColor="text1"/>
          <w:lang w:val="vi-VN"/>
        </w:rPr>
        <w:t xml:space="preserve"> </w:t>
      </w:r>
      <w:r w:rsidRPr="00C411F0">
        <w:rPr>
          <w:color w:val="000000" w:themeColor="text1"/>
          <w:lang w:val="nl-NL"/>
        </w:rPr>
        <w:t>có hiệu lực từ ngày 01 tháng 01 năm 2022</w:t>
      </w:r>
      <w:r w:rsidR="001E6ECA" w:rsidRPr="00C411F0">
        <w:rPr>
          <w:color w:val="000000" w:themeColor="text1"/>
          <w:lang w:val="vi-VN"/>
        </w:rPr>
        <w:t xml:space="preserve"> (Luật BVMT 2020)</w:t>
      </w:r>
      <w:r w:rsidRPr="00C411F0">
        <w:rPr>
          <w:color w:val="000000" w:themeColor="text1"/>
          <w:lang w:val="nl-NL"/>
        </w:rPr>
        <w:t>. Mục tiêu cao nhất của Luật BVMT</w:t>
      </w:r>
      <w:r w:rsidR="001E6ECA" w:rsidRPr="00C411F0">
        <w:rPr>
          <w:color w:val="000000" w:themeColor="text1"/>
          <w:lang w:val="vi-VN"/>
        </w:rPr>
        <w:t xml:space="preserve"> 2020</w:t>
      </w:r>
      <w:r w:rsidRPr="00C411F0">
        <w:rPr>
          <w:color w:val="000000" w:themeColor="text1"/>
          <w:lang w:val="nl-NL"/>
        </w:rPr>
        <w:t xml:space="preserve"> là cải thiện chất lượng môi trường, bảo vệ sức khỏe người dân, cân bằng sinh thái, bảo tồn đa dạng sinh học và phát triển kinh tế bền vững.</w:t>
      </w:r>
    </w:p>
    <w:p w14:paraId="4780C7CB" w14:textId="34247631" w:rsidR="00C63BB5" w:rsidRPr="00C411F0" w:rsidRDefault="00C63BB5">
      <w:pPr>
        <w:widowControl w:val="0"/>
        <w:spacing w:before="120" w:after="120" w:line="340" w:lineRule="exact"/>
        <w:ind w:firstLine="720"/>
        <w:jc w:val="both"/>
        <w:rPr>
          <w:color w:val="000000" w:themeColor="text1"/>
          <w:lang w:val="vi-VN"/>
        </w:rPr>
      </w:pPr>
      <w:r w:rsidRPr="00C411F0">
        <w:rPr>
          <w:color w:val="000000" w:themeColor="text1"/>
          <w:lang w:val="nl-NL"/>
        </w:rPr>
        <w:t>Đ</w:t>
      </w:r>
      <w:r w:rsidR="00792678" w:rsidRPr="00C411F0">
        <w:rPr>
          <w:color w:val="000000" w:themeColor="text1"/>
          <w:lang w:val="nl-NL"/>
        </w:rPr>
        <w:t>a dạng hóa các nguồn vốn đầu tư cho bảo vệ môi trường</w:t>
      </w:r>
      <w:r w:rsidR="00792678" w:rsidRPr="00C411F0">
        <w:rPr>
          <w:color w:val="000000" w:themeColor="text1"/>
          <w:lang w:val="vi-VN"/>
        </w:rPr>
        <w:t xml:space="preserve"> </w:t>
      </w:r>
      <w:r w:rsidR="00EF0061" w:rsidRPr="009605FD">
        <w:rPr>
          <w:color w:val="000000" w:themeColor="text1"/>
          <w:lang w:val="nl-NL"/>
        </w:rPr>
        <w:t xml:space="preserve">(BVMT) </w:t>
      </w:r>
      <w:r w:rsidR="00792678" w:rsidRPr="00C411F0">
        <w:rPr>
          <w:color w:val="000000" w:themeColor="text1"/>
          <w:lang w:val="vi-VN"/>
        </w:rPr>
        <w:t>là một trong những chủ trương, chính sách quan trọng của Đảng và Nhà nước</w:t>
      </w:r>
      <w:r w:rsidR="00DB4746" w:rsidRPr="00C411F0">
        <w:rPr>
          <w:color w:val="000000" w:themeColor="text1"/>
          <w:lang w:val="vi-VN"/>
        </w:rPr>
        <w:t xml:space="preserve"> </w:t>
      </w:r>
      <w:r w:rsidR="00BD7140" w:rsidRPr="00C411F0">
        <w:rPr>
          <w:color w:val="000000" w:themeColor="text1"/>
          <w:lang w:val="vi-VN"/>
        </w:rPr>
        <w:t xml:space="preserve">nhằm bảo đảm mục tiêu </w:t>
      </w:r>
      <w:r w:rsidR="002A17A0" w:rsidRPr="00C411F0">
        <w:rPr>
          <w:color w:val="000000" w:themeColor="text1"/>
          <w:lang w:val="vi-VN"/>
        </w:rPr>
        <w:t>nêu trên</w:t>
      </w:r>
      <w:r w:rsidR="00DB4746" w:rsidRPr="00C411F0">
        <w:rPr>
          <w:color w:val="000000" w:themeColor="text1"/>
          <w:lang w:val="vi-VN"/>
        </w:rPr>
        <w:t>.</w:t>
      </w:r>
      <w:r w:rsidR="007C29A9" w:rsidRPr="00C411F0">
        <w:rPr>
          <w:color w:val="000000" w:themeColor="text1"/>
          <w:lang w:val="vi-VN"/>
        </w:rPr>
        <w:t xml:space="preserve"> </w:t>
      </w:r>
      <w:r w:rsidR="00DB4746" w:rsidRPr="00C411F0">
        <w:rPr>
          <w:color w:val="000000" w:themeColor="text1"/>
          <w:lang w:val="vi-VN"/>
        </w:rPr>
        <w:t>T</w:t>
      </w:r>
      <w:r w:rsidR="007C29A9" w:rsidRPr="00C411F0">
        <w:rPr>
          <w:color w:val="000000" w:themeColor="text1"/>
          <w:lang w:val="vi-VN"/>
        </w:rPr>
        <w:t>rong đó, t</w:t>
      </w:r>
      <w:r w:rsidR="007C1D87" w:rsidRPr="009605FD">
        <w:rPr>
          <w:bCs/>
          <w:color w:val="000000" w:themeColor="text1"/>
          <w:lang w:val="vi-VN"/>
        </w:rPr>
        <w:t>ín dụng xanh</w:t>
      </w:r>
      <w:r w:rsidR="007C29A9" w:rsidRPr="00C411F0">
        <w:rPr>
          <w:bCs/>
          <w:color w:val="000000" w:themeColor="text1"/>
          <w:lang w:val="vi-VN"/>
        </w:rPr>
        <w:t xml:space="preserve"> và</w:t>
      </w:r>
      <w:r w:rsidR="007C1D87" w:rsidRPr="009605FD">
        <w:rPr>
          <w:bCs/>
          <w:color w:val="000000" w:themeColor="text1"/>
          <w:lang w:val="vi-VN"/>
        </w:rPr>
        <w:t xml:space="preserve"> trái phiếu xanh là những </w:t>
      </w:r>
      <w:r w:rsidRPr="009605FD">
        <w:rPr>
          <w:bCs/>
          <w:color w:val="000000" w:themeColor="text1"/>
          <w:lang w:val="vi-VN"/>
        </w:rPr>
        <w:t>công</w:t>
      </w:r>
      <w:r w:rsidRPr="00C411F0">
        <w:rPr>
          <w:bCs/>
          <w:color w:val="000000" w:themeColor="text1"/>
          <w:lang w:val="vi-VN"/>
        </w:rPr>
        <w:t xml:space="preserve"> cụ quan trọng</w:t>
      </w:r>
      <w:r w:rsidR="007C1D87" w:rsidRPr="009605FD">
        <w:rPr>
          <w:bCs/>
          <w:color w:val="000000" w:themeColor="text1"/>
          <w:lang w:val="vi-VN"/>
        </w:rPr>
        <w:t xml:space="preserve"> </w:t>
      </w:r>
      <w:r w:rsidR="00BD7140" w:rsidRPr="009605FD">
        <w:rPr>
          <w:bCs/>
          <w:color w:val="000000" w:themeColor="text1"/>
          <w:lang w:val="vi-VN"/>
        </w:rPr>
        <w:t>để</w:t>
      </w:r>
      <w:r w:rsidR="00BD7140" w:rsidRPr="00C411F0">
        <w:rPr>
          <w:bCs/>
          <w:color w:val="000000" w:themeColor="text1"/>
          <w:lang w:val="vi-VN"/>
        </w:rPr>
        <w:t xml:space="preserve"> </w:t>
      </w:r>
      <w:r w:rsidR="007C1D87" w:rsidRPr="009605FD">
        <w:rPr>
          <w:bCs/>
          <w:color w:val="000000" w:themeColor="text1"/>
          <w:lang w:val="vi-VN"/>
        </w:rPr>
        <w:t xml:space="preserve">tăng cường nguồn lực cho công tác </w:t>
      </w:r>
      <w:r w:rsidR="00EF0061" w:rsidRPr="009605FD">
        <w:rPr>
          <w:bCs/>
          <w:color w:val="000000" w:themeColor="text1"/>
          <w:lang w:val="vi-VN"/>
        </w:rPr>
        <w:t>BVMT</w:t>
      </w:r>
      <w:r w:rsidR="007C1D87" w:rsidRPr="009605FD">
        <w:rPr>
          <w:bCs/>
          <w:color w:val="000000" w:themeColor="text1"/>
          <w:lang w:val="vi-VN"/>
        </w:rPr>
        <w:t xml:space="preserve"> ở Việt Nam. </w:t>
      </w:r>
      <w:r w:rsidR="007C1D87" w:rsidRPr="00C411F0">
        <w:rPr>
          <w:bCs/>
          <w:color w:val="000000" w:themeColor="text1"/>
          <w:lang w:val="vi-VN"/>
        </w:rPr>
        <w:t>Việc quy định tín dụng xanh, trái phiếu</w:t>
      </w:r>
      <w:r w:rsidRPr="00C411F0">
        <w:rPr>
          <w:bCs/>
          <w:color w:val="000000" w:themeColor="text1"/>
          <w:lang w:val="vi-VN"/>
        </w:rPr>
        <w:t xml:space="preserve"> xanh</w:t>
      </w:r>
      <w:r w:rsidR="007C1D87" w:rsidRPr="00C411F0">
        <w:rPr>
          <w:bCs/>
          <w:color w:val="000000" w:themeColor="text1"/>
          <w:lang w:val="vi-VN"/>
        </w:rPr>
        <w:t xml:space="preserve"> trong Luật BVMT 2020 </w:t>
      </w:r>
      <w:r w:rsidRPr="00C411F0">
        <w:rPr>
          <w:bCs/>
          <w:color w:val="000000" w:themeColor="text1"/>
          <w:lang w:val="vi-VN"/>
        </w:rPr>
        <w:t>đã</w:t>
      </w:r>
      <w:r w:rsidR="007C1D87" w:rsidRPr="00C411F0">
        <w:rPr>
          <w:bCs/>
          <w:color w:val="000000" w:themeColor="text1"/>
          <w:lang w:val="vi-VN"/>
        </w:rPr>
        <w:t xml:space="preserve"> tạo </w:t>
      </w:r>
      <w:r w:rsidRPr="00C411F0">
        <w:rPr>
          <w:bCs/>
          <w:color w:val="000000" w:themeColor="text1"/>
          <w:lang w:val="vi-VN"/>
        </w:rPr>
        <w:t>cơ sở</w:t>
      </w:r>
      <w:r w:rsidR="007C1D87" w:rsidRPr="00C411F0">
        <w:rPr>
          <w:bCs/>
          <w:color w:val="000000" w:themeColor="text1"/>
          <w:lang w:val="vi-VN"/>
        </w:rPr>
        <w:t xml:space="preserve"> pháp lý</w:t>
      </w:r>
      <w:r w:rsidRPr="00C411F0">
        <w:rPr>
          <w:bCs/>
          <w:color w:val="000000" w:themeColor="text1"/>
          <w:lang w:val="vi-VN"/>
        </w:rPr>
        <w:t xml:space="preserve"> quan trọng</w:t>
      </w:r>
      <w:r w:rsidR="001E6ECA" w:rsidRPr="00C411F0">
        <w:rPr>
          <w:bCs/>
          <w:color w:val="000000" w:themeColor="text1"/>
          <w:lang w:val="vi-VN"/>
        </w:rPr>
        <w:t>, bảo đảm tính đồng bộ pháp luật</w:t>
      </w:r>
      <w:r w:rsidR="007C1D87" w:rsidRPr="00C411F0">
        <w:rPr>
          <w:bCs/>
          <w:color w:val="000000" w:themeColor="text1"/>
          <w:lang w:val="vi-VN"/>
        </w:rPr>
        <w:t xml:space="preserve"> </w:t>
      </w:r>
      <w:r w:rsidR="00BD7140" w:rsidRPr="00C411F0">
        <w:rPr>
          <w:bCs/>
          <w:color w:val="000000" w:themeColor="text1"/>
          <w:lang w:val="vi-VN"/>
        </w:rPr>
        <w:t xml:space="preserve">để thúc đẩy phát triển </w:t>
      </w:r>
      <w:r w:rsidR="007C1D87" w:rsidRPr="00C411F0">
        <w:rPr>
          <w:bCs/>
          <w:color w:val="000000" w:themeColor="text1"/>
          <w:lang w:val="vi-VN"/>
        </w:rPr>
        <w:t>các hoạt động này</w:t>
      </w:r>
      <w:r w:rsidR="001E6ECA" w:rsidRPr="00C411F0">
        <w:rPr>
          <w:bCs/>
          <w:color w:val="000000" w:themeColor="text1"/>
          <w:lang w:val="vi-VN"/>
        </w:rPr>
        <w:t xml:space="preserve"> ở nước ta.</w:t>
      </w:r>
      <w:r w:rsidRPr="00C411F0">
        <w:rPr>
          <w:bCs/>
          <w:color w:val="000000" w:themeColor="text1"/>
          <w:lang w:val="vi-VN"/>
        </w:rPr>
        <w:t xml:space="preserve"> </w:t>
      </w:r>
    </w:p>
    <w:p w14:paraId="26E0CB38" w14:textId="2519335C" w:rsidR="003A2D36" w:rsidRPr="00C411F0" w:rsidRDefault="00C63BB5" w:rsidP="00E8659C">
      <w:pPr>
        <w:widowControl w:val="0"/>
        <w:spacing w:before="120" w:after="120" w:line="340" w:lineRule="exact"/>
        <w:ind w:firstLine="720"/>
        <w:jc w:val="both"/>
        <w:rPr>
          <w:bCs/>
          <w:color w:val="000000" w:themeColor="text1"/>
          <w:lang w:val="vi-VN"/>
        </w:rPr>
      </w:pPr>
      <w:r w:rsidRPr="00C411F0">
        <w:rPr>
          <w:bCs/>
          <w:color w:val="000000" w:themeColor="text1"/>
          <w:lang w:val="vi-VN"/>
        </w:rPr>
        <w:t>Trên cơ sở quy định về Tín dụng xanh và Trái phiếu xanh</w:t>
      </w:r>
      <w:r w:rsidR="00E919C7" w:rsidRPr="00C411F0">
        <w:rPr>
          <w:bCs/>
          <w:color w:val="000000" w:themeColor="text1"/>
          <w:lang w:val="vi-VN"/>
        </w:rPr>
        <w:t xml:space="preserve"> của</w:t>
      </w:r>
      <w:r w:rsidRPr="00C411F0">
        <w:rPr>
          <w:bCs/>
          <w:color w:val="000000" w:themeColor="text1"/>
          <w:lang w:val="vi-VN"/>
        </w:rPr>
        <w:t xml:space="preserve"> </w:t>
      </w:r>
      <w:r w:rsidRPr="00C411F0">
        <w:rPr>
          <w:color w:val="000000" w:themeColor="text1"/>
          <w:lang w:val="vi-VN"/>
        </w:rPr>
        <w:t>Luật BVMT 2020</w:t>
      </w:r>
      <w:r w:rsidR="00E919C7" w:rsidRPr="00C411F0">
        <w:rPr>
          <w:color w:val="000000" w:themeColor="text1"/>
          <w:lang w:val="vi-VN"/>
        </w:rPr>
        <w:t xml:space="preserve"> </w:t>
      </w:r>
      <w:r w:rsidR="00E919C7" w:rsidRPr="00C411F0">
        <w:rPr>
          <w:bCs/>
          <w:color w:val="000000" w:themeColor="text1"/>
          <w:lang w:val="vi-VN"/>
        </w:rPr>
        <w:t>(</w:t>
      </w:r>
      <w:r w:rsidR="00E919C7" w:rsidRPr="009605FD">
        <w:rPr>
          <w:bCs/>
          <w:color w:val="000000" w:themeColor="text1"/>
          <w:lang w:val="vi-VN"/>
        </w:rPr>
        <w:t>Điều 149 và Điều 150</w:t>
      </w:r>
      <w:r w:rsidR="00E919C7" w:rsidRPr="00C411F0">
        <w:rPr>
          <w:bCs/>
          <w:color w:val="000000" w:themeColor="text1"/>
          <w:lang w:val="vi-VN"/>
        </w:rPr>
        <w:t>)</w:t>
      </w:r>
      <w:r w:rsidRPr="00C411F0">
        <w:rPr>
          <w:bCs/>
          <w:color w:val="000000" w:themeColor="text1"/>
          <w:lang w:val="vi-VN"/>
        </w:rPr>
        <w:t xml:space="preserve">, </w:t>
      </w:r>
      <w:r w:rsidR="00DB4746" w:rsidRPr="00C411F0">
        <w:rPr>
          <w:bCs/>
          <w:color w:val="000000" w:themeColor="text1"/>
          <w:lang w:val="vi-VN"/>
        </w:rPr>
        <w:t xml:space="preserve">Nghị định số 08/2022/NĐ-CP của Chính phủ ngày </w:t>
      </w:r>
      <w:r w:rsidR="00E919C7" w:rsidRPr="00C411F0">
        <w:rPr>
          <w:bCs/>
          <w:color w:val="000000" w:themeColor="text1"/>
          <w:lang w:val="vi-VN"/>
        </w:rPr>
        <w:t>10/01/2022</w:t>
      </w:r>
      <w:r w:rsidRPr="00C411F0">
        <w:rPr>
          <w:bCs/>
          <w:color w:val="000000" w:themeColor="text1"/>
          <w:lang w:val="vi-VN"/>
        </w:rPr>
        <w:t xml:space="preserve"> đã</w:t>
      </w:r>
      <w:r w:rsidR="00BD7140" w:rsidRPr="00C411F0">
        <w:rPr>
          <w:bCs/>
          <w:color w:val="000000" w:themeColor="text1"/>
          <w:lang w:val="vi-VN"/>
        </w:rPr>
        <w:t xml:space="preserve"> có những</w:t>
      </w:r>
      <w:r w:rsidRPr="00C411F0">
        <w:rPr>
          <w:bCs/>
          <w:color w:val="000000" w:themeColor="text1"/>
          <w:lang w:val="vi-VN"/>
        </w:rPr>
        <w:t xml:space="preserve"> </w:t>
      </w:r>
      <w:r w:rsidR="00E919C7" w:rsidRPr="00C411F0">
        <w:rPr>
          <w:bCs/>
          <w:color w:val="000000" w:themeColor="text1"/>
          <w:lang w:val="vi-VN"/>
        </w:rPr>
        <w:t>quy định về Dự án được cấp tín dụng xanh, phát hành trái phiếu xanh; Cơ chế khuyến khích cấp tín dụng xanh; L</w:t>
      </w:r>
      <w:r w:rsidR="00EF0061" w:rsidRPr="00C411F0">
        <w:rPr>
          <w:bCs/>
          <w:color w:val="000000" w:themeColor="text1"/>
          <w:lang w:val="vi-VN"/>
        </w:rPr>
        <w:t>ộ trình thực hiện tín dụng xanh, t</w:t>
      </w:r>
      <w:r w:rsidR="00E919C7" w:rsidRPr="00C411F0">
        <w:rPr>
          <w:bCs/>
          <w:color w:val="000000" w:themeColor="text1"/>
          <w:lang w:val="vi-VN"/>
        </w:rPr>
        <w:t>rái phiếu xanh</w:t>
      </w:r>
      <w:r w:rsidR="00BD7140" w:rsidRPr="00C411F0">
        <w:rPr>
          <w:bCs/>
          <w:color w:val="000000" w:themeColor="text1"/>
          <w:lang w:val="vi-VN"/>
        </w:rPr>
        <w:t xml:space="preserve"> làm cơ sở triển khai Luật</w:t>
      </w:r>
      <w:r w:rsidR="00E919C7" w:rsidRPr="00C411F0">
        <w:rPr>
          <w:bCs/>
          <w:color w:val="000000" w:themeColor="text1"/>
          <w:lang w:val="vi-VN"/>
        </w:rPr>
        <w:t xml:space="preserve"> tại các Điều 154 đến 157 của Nghị định. </w:t>
      </w:r>
      <w:r w:rsidR="003A2D36" w:rsidRPr="00C411F0">
        <w:rPr>
          <w:bCs/>
          <w:color w:val="000000" w:themeColor="text1"/>
          <w:lang w:val="vi-VN"/>
        </w:rPr>
        <w:t xml:space="preserve">Trong đó, khoản 2 Điều 154 của Nghị định giao </w:t>
      </w:r>
      <w:r w:rsidR="003A2D36" w:rsidRPr="00C411F0">
        <w:rPr>
          <w:bCs/>
          <w:i/>
          <w:iCs/>
          <w:color w:val="000000" w:themeColor="text1"/>
          <w:lang w:val="vi-VN"/>
        </w:rPr>
        <w:t>“Bộ Tài nguyên và Môi trường chủ trì, phối hợp với các bộ, cơ quan ngang bộ có liên quan xây dựng trình Thủ tướng Chính phủ ban hành tiêu chí môi trường và việc xác nhận đối với dự án được cấp tín dụng xanh, phát hành trái phiếu xanh trước ngày 31 tháng 12 năm 2022”</w:t>
      </w:r>
      <w:r w:rsidR="003A2D36" w:rsidRPr="00C411F0">
        <w:rPr>
          <w:bCs/>
          <w:color w:val="000000" w:themeColor="text1"/>
          <w:lang w:val="vi-VN"/>
        </w:rPr>
        <w:t>.</w:t>
      </w:r>
    </w:p>
    <w:p w14:paraId="0E44E7F1" w14:textId="77777777" w:rsidR="00347EF0" w:rsidRPr="009605FD" w:rsidRDefault="00347EF0" w:rsidP="00E8659C">
      <w:pPr>
        <w:widowControl w:val="0"/>
        <w:tabs>
          <w:tab w:val="right" w:leader="dot" w:pos="7920"/>
        </w:tabs>
        <w:spacing w:before="120" w:line="376" w:lineRule="exact"/>
        <w:ind w:firstLine="454"/>
        <w:jc w:val="both"/>
        <w:rPr>
          <w:b/>
          <w:color w:val="000000" w:themeColor="text1"/>
          <w:lang w:val="vi-VN"/>
        </w:rPr>
      </w:pPr>
      <w:r w:rsidRPr="009605FD">
        <w:rPr>
          <w:b/>
          <w:color w:val="000000" w:themeColor="text1"/>
          <w:lang w:val="vi-VN"/>
        </w:rPr>
        <w:t>2. Mục tiêu xây dựng chính sách</w:t>
      </w:r>
    </w:p>
    <w:p w14:paraId="0482BA9B" w14:textId="5391A311" w:rsidR="00347EF0" w:rsidRPr="00C411F0" w:rsidRDefault="00347EF0" w:rsidP="00E8659C">
      <w:pPr>
        <w:pStyle w:val="ListParagraph"/>
        <w:widowControl w:val="0"/>
        <w:numPr>
          <w:ilvl w:val="0"/>
          <w:numId w:val="4"/>
        </w:numPr>
        <w:tabs>
          <w:tab w:val="right" w:leader="dot" w:pos="7920"/>
        </w:tabs>
        <w:spacing w:before="120" w:line="376" w:lineRule="exact"/>
        <w:ind w:left="993" w:hanging="284"/>
        <w:contextualSpacing w:val="0"/>
        <w:jc w:val="both"/>
        <w:rPr>
          <w:b/>
          <w:bCs/>
          <w:i/>
          <w:iCs/>
          <w:color w:val="000000" w:themeColor="text1"/>
        </w:rPr>
      </w:pPr>
      <w:r w:rsidRPr="00C411F0">
        <w:rPr>
          <w:b/>
          <w:bCs/>
          <w:i/>
          <w:iCs/>
          <w:color w:val="000000" w:themeColor="text1"/>
        </w:rPr>
        <w:t>Mục tiêu tổng thể</w:t>
      </w:r>
    </w:p>
    <w:p w14:paraId="16BB91B9" w14:textId="713A6FCF" w:rsidR="007C301F" w:rsidRPr="00C411F0" w:rsidRDefault="002A17A0" w:rsidP="00E8659C">
      <w:pPr>
        <w:widowControl w:val="0"/>
        <w:spacing w:before="120" w:line="340" w:lineRule="exact"/>
        <w:ind w:firstLine="720"/>
        <w:jc w:val="both"/>
        <w:rPr>
          <w:i/>
          <w:iCs/>
          <w:color w:val="000000" w:themeColor="text1"/>
          <w:lang w:val="vi-VN"/>
        </w:rPr>
      </w:pPr>
      <w:r w:rsidRPr="00C411F0">
        <w:rPr>
          <w:color w:val="000000" w:themeColor="text1"/>
        </w:rPr>
        <w:t>Quyết</w:t>
      </w:r>
      <w:r w:rsidRPr="00C411F0">
        <w:rPr>
          <w:color w:val="000000" w:themeColor="text1"/>
          <w:lang w:val="vi-VN"/>
        </w:rPr>
        <w:t xml:space="preserve"> định của Thủ tướng Chính phủ quy định </w:t>
      </w:r>
      <w:r w:rsidR="00EF0061" w:rsidRPr="00C411F0">
        <w:rPr>
          <w:color w:val="000000" w:themeColor="text1"/>
        </w:rPr>
        <w:t xml:space="preserve">về </w:t>
      </w:r>
      <w:r w:rsidRPr="00C411F0">
        <w:rPr>
          <w:color w:val="000000" w:themeColor="text1"/>
          <w:lang w:val="vi-VN"/>
        </w:rPr>
        <w:t xml:space="preserve">tiêu chí môi trường và </w:t>
      </w:r>
      <w:r w:rsidRPr="00C411F0">
        <w:rPr>
          <w:color w:val="000000" w:themeColor="text1"/>
          <w:lang w:val="vi-VN"/>
        </w:rPr>
        <w:lastRenderedPageBreak/>
        <w:t xml:space="preserve">việc xác nhận đối với dự án được cấp tín dụng xanh, phát hành trái phiếu xanh được xây dựng với mục tiêu </w:t>
      </w:r>
      <w:r w:rsidRPr="00C411F0">
        <w:rPr>
          <w:i/>
          <w:iCs/>
          <w:color w:val="000000" w:themeColor="text1"/>
          <w:lang w:val="vi-VN"/>
        </w:rPr>
        <w:t xml:space="preserve">nhằm </w:t>
      </w:r>
      <w:r w:rsidRPr="00C411F0">
        <w:rPr>
          <w:i/>
          <w:iCs/>
          <w:color w:val="000000" w:themeColor="text1"/>
        </w:rPr>
        <w:t>h</w:t>
      </w:r>
      <w:r w:rsidR="00BD7140" w:rsidRPr="00C411F0">
        <w:rPr>
          <w:i/>
          <w:iCs/>
          <w:color w:val="000000" w:themeColor="text1"/>
        </w:rPr>
        <w:t>oàn</w:t>
      </w:r>
      <w:r w:rsidR="00BD7140" w:rsidRPr="00C411F0">
        <w:rPr>
          <w:i/>
          <w:iCs/>
          <w:color w:val="000000" w:themeColor="text1"/>
          <w:lang w:val="vi-VN"/>
        </w:rPr>
        <w:t xml:space="preserve"> thiện </w:t>
      </w:r>
      <w:r w:rsidR="00893824" w:rsidRPr="00C411F0">
        <w:rPr>
          <w:i/>
          <w:iCs/>
          <w:color w:val="000000" w:themeColor="text1"/>
          <w:lang w:val="vi-VN"/>
        </w:rPr>
        <w:t xml:space="preserve">hệ thống </w:t>
      </w:r>
      <w:r w:rsidR="00BD7140" w:rsidRPr="00C411F0">
        <w:rPr>
          <w:i/>
          <w:iCs/>
          <w:color w:val="000000" w:themeColor="text1"/>
          <w:lang w:val="vi-VN"/>
        </w:rPr>
        <w:t>quy định</w:t>
      </w:r>
      <w:r w:rsidR="00BD7140" w:rsidRPr="00C411F0">
        <w:rPr>
          <w:i/>
          <w:iCs/>
          <w:color w:val="000000" w:themeColor="text1"/>
        </w:rPr>
        <w:t xml:space="preserve"> pháp l</w:t>
      </w:r>
      <w:r w:rsidR="00893824" w:rsidRPr="00C411F0">
        <w:rPr>
          <w:i/>
          <w:iCs/>
          <w:color w:val="000000" w:themeColor="text1"/>
        </w:rPr>
        <w:t>uật</w:t>
      </w:r>
      <w:r w:rsidR="007C301F" w:rsidRPr="00C411F0">
        <w:rPr>
          <w:i/>
          <w:iCs/>
          <w:color w:val="000000" w:themeColor="text1"/>
          <w:lang w:val="vi-VN"/>
        </w:rPr>
        <w:t xml:space="preserve">, </w:t>
      </w:r>
      <w:r w:rsidR="00893824" w:rsidRPr="00C411F0">
        <w:rPr>
          <w:i/>
          <w:iCs/>
          <w:color w:val="000000" w:themeColor="text1"/>
          <w:lang w:val="vi-VN"/>
        </w:rPr>
        <w:t>bảo đảm</w:t>
      </w:r>
      <w:r w:rsidR="00BD7140" w:rsidRPr="00C411F0">
        <w:rPr>
          <w:i/>
          <w:iCs/>
          <w:color w:val="000000" w:themeColor="text1"/>
        </w:rPr>
        <w:t xml:space="preserve"> đầy đủ </w:t>
      </w:r>
      <w:r w:rsidR="00893824" w:rsidRPr="00C411F0">
        <w:rPr>
          <w:i/>
          <w:iCs/>
          <w:color w:val="000000" w:themeColor="text1"/>
        </w:rPr>
        <w:t>cơ</w:t>
      </w:r>
      <w:r w:rsidR="00893824" w:rsidRPr="00C411F0">
        <w:rPr>
          <w:i/>
          <w:iCs/>
          <w:color w:val="000000" w:themeColor="text1"/>
          <w:lang w:val="vi-VN"/>
        </w:rPr>
        <w:t xml:space="preserve"> sở </w:t>
      </w:r>
      <w:r w:rsidR="007C301F" w:rsidRPr="00C411F0">
        <w:rPr>
          <w:i/>
          <w:iCs/>
          <w:color w:val="000000" w:themeColor="text1"/>
          <w:lang w:val="vi-VN"/>
        </w:rPr>
        <w:t>pháp lý, kỹ thuật thúc đẩy việc</w:t>
      </w:r>
      <w:r w:rsidR="00BD7140" w:rsidRPr="00C411F0">
        <w:rPr>
          <w:i/>
          <w:iCs/>
          <w:color w:val="000000" w:themeColor="text1"/>
          <w:lang w:val="vi-VN"/>
        </w:rPr>
        <w:t xml:space="preserve"> triển khai</w:t>
      </w:r>
      <w:r w:rsidR="00BD7140" w:rsidRPr="00C411F0">
        <w:rPr>
          <w:i/>
          <w:iCs/>
          <w:color w:val="000000" w:themeColor="text1"/>
        </w:rPr>
        <w:t xml:space="preserve"> hoạt động cấp tín dụng xanh, phát hành trái phiếu xanh theo</w:t>
      </w:r>
      <w:r w:rsidR="00BD7140" w:rsidRPr="00C411F0">
        <w:rPr>
          <w:i/>
          <w:iCs/>
          <w:color w:val="000000" w:themeColor="text1"/>
          <w:lang w:val="vi-VN"/>
        </w:rPr>
        <w:t xml:space="preserve"> quy định </w:t>
      </w:r>
      <w:r w:rsidR="00893824" w:rsidRPr="00C411F0">
        <w:rPr>
          <w:i/>
          <w:iCs/>
          <w:color w:val="000000" w:themeColor="text1"/>
          <w:lang w:val="vi-VN"/>
        </w:rPr>
        <w:t>của Luật BVMT 2020</w:t>
      </w:r>
      <w:r w:rsidRPr="00C411F0">
        <w:rPr>
          <w:i/>
          <w:iCs/>
          <w:color w:val="000000" w:themeColor="text1"/>
          <w:lang w:val="vi-VN"/>
        </w:rPr>
        <w:t>,</w:t>
      </w:r>
      <w:r w:rsidR="00893824" w:rsidRPr="00C411F0">
        <w:rPr>
          <w:i/>
          <w:iCs/>
          <w:color w:val="000000" w:themeColor="text1"/>
          <w:lang w:val="vi-VN"/>
        </w:rPr>
        <w:t xml:space="preserve"> Nghị định số 08/2022/NĐ-CP</w:t>
      </w:r>
      <w:r w:rsidR="007C301F" w:rsidRPr="00C411F0">
        <w:rPr>
          <w:i/>
          <w:iCs/>
          <w:color w:val="000000" w:themeColor="text1"/>
          <w:lang w:val="vi-VN"/>
        </w:rPr>
        <w:t xml:space="preserve"> và các văn bản pháp luật có liên quan</w:t>
      </w:r>
      <w:r w:rsidR="008E3E83" w:rsidRPr="00C411F0">
        <w:rPr>
          <w:i/>
          <w:iCs/>
          <w:color w:val="000000" w:themeColor="text1"/>
          <w:lang w:val="vi-VN"/>
        </w:rPr>
        <w:t xml:space="preserve">, </w:t>
      </w:r>
      <w:r w:rsidRPr="00C411F0">
        <w:rPr>
          <w:i/>
          <w:iCs/>
          <w:color w:val="000000" w:themeColor="text1"/>
          <w:lang w:val="vi-VN"/>
        </w:rPr>
        <w:t>tăng cường nguồn lực cho các hoạt động bảo vệ môi trườn</w:t>
      </w:r>
      <w:r w:rsidR="008E3E83" w:rsidRPr="00C411F0">
        <w:rPr>
          <w:i/>
          <w:iCs/>
          <w:color w:val="000000" w:themeColor="text1"/>
          <w:lang w:val="vi-VN"/>
        </w:rPr>
        <w:t>g,</w:t>
      </w:r>
      <w:r w:rsidRPr="00C411F0">
        <w:rPr>
          <w:i/>
          <w:iCs/>
          <w:color w:val="000000" w:themeColor="text1"/>
          <w:lang w:val="vi-VN"/>
        </w:rPr>
        <w:t xml:space="preserve"> </w:t>
      </w:r>
      <w:r w:rsidR="00554EDE" w:rsidRPr="00C411F0">
        <w:rPr>
          <w:i/>
          <w:iCs/>
          <w:color w:val="000000" w:themeColor="text1"/>
        </w:rPr>
        <w:t>hỗ trợ quá trình chuyển đổi của Việt Nam sang nền kinh tế xanh, kinh tế tuần hoàn</w:t>
      </w:r>
      <w:r w:rsidR="007C301F" w:rsidRPr="00C411F0">
        <w:rPr>
          <w:i/>
          <w:iCs/>
          <w:color w:val="000000" w:themeColor="text1"/>
          <w:lang w:val="vi-VN"/>
        </w:rPr>
        <w:t>, hướng đến nền kinh tế các-bon thấp, bảo vệ môi trường và phát triển bền vững.</w:t>
      </w:r>
    </w:p>
    <w:p w14:paraId="4730871A" w14:textId="7847B3CE" w:rsidR="00893824" w:rsidRPr="00C411F0" w:rsidRDefault="00347EF0" w:rsidP="00E8659C">
      <w:pPr>
        <w:pStyle w:val="ListParagraph"/>
        <w:widowControl w:val="0"/>
        <w:numPr>
          <w:ilvl w:val="0"/>
          <w:numId w:val="4"/>
        </w:numPr>
        <w:tabs>
          <w:tab w:val="right" w:leader="dot" w:pos="7920"/>
        </w:tabs>
        <w:spacing w:before="120" w:after="120" w:line="376" w:lineRule="exact"/>
        <w:ind w:left="993" w:hanging="284"/>
        <w:contextualSpacing w:val="0"/>
        <w:jc w:val="both"/>
        <w:rPr>
          <w:b/>
          <w:bCs/>
          <w:i/>
          <w:iCs/>
          <w:color w:val="000000" w:themeColor="text1"/>
        </w:rPr>
      </w:pPr>
      <w:r w:rsidRPr="00C411F0">
        <w:rPr>
          <w:b/>
          <w:bCs/>
          <w:i/>
          <w:iCs/>
          <w:color w:val="000000" w:themeColor="text1"/>
        </w:rPr>
        <w:t>Mục tiêu cụ thể</w:t>
      </w:r>
    </w:p>
    <w:p w14:paraId="573624B5" w14:textId="2FB2A81E" w:rsidR="004461AB" w:rsidRPr="00C411F0" w:rsidRDefault="004461AB" w:rsidP="00E8659C">
      <w:pPr>
        <w:widowControl w:val="0"/>
        <w:spacing w:before="120" w:line="340" w:lineRule="exact"/>
        <w:ind w:firstLine="720"/>
        <w:jc w:val="both"/>
        <w:rPr>
          <w:color w:val="000000" w:themeColor="text1"/>
          <w:lang w:val="vi-VN"/>
        </w:rPr>
      </w:pPr>
      <w:r w:rsidRPr="00C411F0">
        <w:rPr>
          <w:color w:val="000000" w:themeColor="text1"/>
        </w:rPr>
        <w:t>Các</w:t>
      </w:r>
      <w:r w:rsidRPr="00C411F0">
        <w:rPr>
          <w:color w:val="000000" w:themeColor="text1"/>
          <w:lang w:val="vi-VN"/>
        </w:rPr>
        <w:t xml:space="preserve"> mục tiêu cụ thể bao gồm:</w:t>
      </w:r>
    </w:p>
    <w:p w14:paraId="5E484726" w14:textId="453951B3" w:rsidR="0038537B" w:rsidRPr="00C411F0" w:rsidRDefault="00CD78AE" w:rsidP="00E8659C">
      <w:pPr>
        <w:widowControl w:val="0"/>
        <w:spacing w:before="120" w:line="340" w:lineRule="exact"/>
        <w:ind w:firstLine="720"/>
        <w:jc w:val="both"/>
        <w:rPr>
          <w:color w:val="000000" w:themeColor="text1"/>
          <w:lang w:val="vi-VN"/>
        </w:rPr>
      </w:pPr>
      <w:r w:rsidRPr="009605FD">
        <w:rPr>
          <w:color w:val="000000" w:themeColor="text1"/>
          <w:lang w:val="vi-VN"/>
        </w:rPr>
        <w:t>- Quy</w:t>
      </w:r>
      <w:r w:rsidRPr="00C411F0">
        <w:rPr>
          <w:color w:val="000000" w:themeColor="text1"/>
          <w:lang w:val="vi-VN"/>
        </w:rPr>
        <w:t xml:space="preserve"> định các tiêu chí môi trường làm cơ sở xác định dự án</w:t>
      </w:r>
      <w:r w:rsidR="00FE4EEC">
        <w:rPr>
          <w:color w:val="000000" w:themeColor="text1"/>
          <w:lang w:val="vi-VN"/>
        </w:rPr>
        <w:t xml:space="preserve"> </w:t>
      </w:r>
      <w:r w:rsidRPr="00C411F0">
        <w:rPr>
          <w:color w:val="000000" w:themeColor="text1"/>
          <w:lang w:val="vi-VN"/>
        </w:rPr>
        <w:t xml:space="preserve">được cấp tín dụng xanh, phát hành trái phiếu </w:t>
      </w:r>
      <w:r w:rsidR="0038537B" w:rsidRPr="00C411F0">
        <w:rPr>
          <w:color w:val="000000" w:themeColor="text1"/>
          <w:lang w:val="vi-VN"/>
        </w:rPr>
        <w:t>xanh</w:t>
      </w:r>
      <w:r w:rsidR="004461AB" w:rsidRPr="00C411F0">
        <w:rPr>
          <w:color w:val="000000" w:themeColor="text1"/>
          <w:lang w:val="vi-VN"/>
        </w:rPr>
        <w:t xml:space="preserve"> trong điều kiện Việt Nam, phù hợp với thông lệ quốc tế</w:t>
      </w:r>
      <w:r w:rsidR="00B05488" w:rsidRPr="00C411F0">
        <w:rPr>
          <w:color w:val="000000" w:themeColor="text1"/>
          <w:lang w:val="vi-VN"/>
        </w:rPr>
        <w:t xml:space="preserve">; bảo đảm vai trò của các công cụ tín dụng xanh, trái phiếu xanh trong việc điều chỉnh dòng vốn trong nước và quốc tế, thúc đẩy nền kinh tế Việt Nam hướng đến một nền kinh tế các-bon thấp, </w:t>
      </w:r>
      <w:r w:rsidR="00241218" w:rsidRPr="00C411F0">
        <w:rPr>
          <w:color w:val="000000" w:themeColor="text1"/>
          <w:lang w:val="vi-VN"/>
        </w:rPr>
        <w:t>BVMT</w:t>
      </w:r>
      <w:r w:rsidR="00B05488" w:rsidRPr="00C411F0">
        <w:rPr>
          <w:color w:val="000000" w:themeColor="text1"/>
          <w:lang w:val="vi-VN"/>
        </w:rPr>
        <w:t>, tăng trưởng xanh</w:t>
      </w:r>
      <w:r w:rsidR="00241218" w:rsidRPr="00C411F0">
        <w:rPr>
          <w:color w:val="000000" w:themeColor="text1"/>
          <w:lang w:val="vi-VN"/>
        </w:rPr>
        <w:t xml:space="preserve"> và phát triển bền vững (PTBV).</w:t>
      </w:r>
    </w:p>
    <w:p w14:paraId="2E23491F" w14:textId="16D6C66C" w:rsidR="00CD78AE" w:rsidRPr="00C411F0" w:rsidRDefault="0038537B" w:rsidP="00E8659C">
      <w:pPr>
        <w:widowControl w:val="0"/>
        <w:spacing w:before="120" w:line="340" w:lineRule="exact"/>
        <w:ind w:firstLine="720"/>
        <w:jc w:val="both"/>
        <w:rPr>
          <w:color w:val="000000" w:themeColor="text1"/>
          <w:lang w:val="vi-VN"/>
        </w:rPr>
      </w:pPr>
      <w:r w:rsidRPr="00C411F0">
        <w:rPr>
          <w:color w:val="000000" w:themeColor="text1"/>
          <w:lang w:val="vi-VN"/>
        </w:rPr>
        <w:t xml:space="preserve">- </w:t>
      </w:r>
      <w:r w:rsidR="00712CC4" w:rsidRPr="00C411F0">
        <w:rPr>
          <w:color w:val="000000" w:themeColor="text1"/>
          <w:lang w:val="vi-VN"/>
        </w:rPr>
        <w:t>B</w:t>
      </w:r>
      <w:r w:rsidRPr="00C411F0">
        <w:rPr>
          <w:color w:val="000000" w:themeColor="text1"/>
          <w:lang w:val="vi-VN"/>
        </w:rPr>
        <w:t>an hành</w:t>
      </w:r>
      <w:r w:rsidR="00CD78AE" w:rsidRPr="00C411F0">
        <w:rPr>
          <w:color w:val="000000" w:themeColor="text1"/>
          <w:lang w:val="vi-VN"/>
        </w:rPr>
        <w:t xml:space="preserve"> </w:t>
      </w:r>
      <w:r w:rsidRPr="00C411F0">
        <w:rPr>
          <w:color w:val="000000" w:themeColor="text1"/>
          <w:lang w:val="vi-VN"/>
        </w:rPr>
        <w:t xml:space="preserve">Danh mục phân loại xanh </w:t>
      </w:r>
      <w:r w:rsidR="00241218" w:rsidRPr="00C411F0">
        <w:rPr>
          <w:color w:val="000000" w:themeColor="text1"/>
          <w:lang w:val="vi-VN"/>
        </w:rPr>
        <w:t xml:space="preserve">với các tiêu chí môi trường cụ thể </w:t>
      </w:r>
      <w:r w:rsidRPr="00C411F0">
        <w:rPr>
          <w:color w:val="000000" w:themeColor="text1"/>
          <w:lang w:val="vi-VN"/>
        </w:rPr>
        <w:t>nhằm tạo điều kiện thuận lợi cho các tổ chức, cá nhân</w:t>
      </w:r>
      <w:r w:rsidR="00EB53BA" w:rsidRPr="00C411F0">
        <w:rPr>
          <w:color w:val="000000" w:themeColor="text1"/>
          <w:lang w:val="vi-VN"/>
        </w:rPr>
        <w:t xml:space="preserve"> áp dụng</w:t>
      </w:r>
      <w:r w:rsidRPr="00C411F0">
        <w:rPr>
          <w:color w:val="000000" w:themeColor="text1"/>
          <w:lang w:val="vi-VN"/>
        </w:rPr>
        <w:t xml:space="preserve"> </w:t>
      </w:r>
      <w:r w:rsidR="004461AB" w:rsidRPr="00C411F0">
        <w:rPr>
          <w:color w:val="000000" w:themeColor="text1"/>
          <w:lang w:val="vi-VN"/>
        </w:rPr>
        <w:t xml:space="preserve">trong quá trình </w:t>
      </w:r>
      <w:r w:rsidRPr="00C411F0">
        <w:rPr>
          <w:color w:val="000000" w:themeColor="text1"/>
          <w:lang w:val="vi-VN"/>
        </w:rPr>
        <w:t xml:space="preserve">triển khai </w:t>
      </w:r>
      <w:r w:rsidR="00241218" w:rsidRPr="00C411F0">
        <w:rPr>
          <w:color w:val="000000" w:themeColor="text1"/>
          <w:lang w:val="vi-VN"/>
        </w:rPr>
        <w:t>các hoạt động liên quan đến cấp</w:t>
      </w:r>
      <w:r w:rsidRPr="00C411F0">
        <w:rPr>
          <w:color w:val="000000" w:themeColor="text1"/>
          <w:lang w:val="vi-VN"/>
        </w:rPr>
        <w:t xml:space="preserve"> tín dụng xanh, phát hành trái phiếu xanh</w:t>
      </w:r>
      <w:r w:rsidR="00554EDE" w:rsidRPr="00C411F0">
        <w:rPr>
          <w:color w:val="000000" w:themeColor="text1"/>
          <w:lang w:val="vi-VN"/>
        </w:rPr>
        <w:t xml:space="preserve">; </w:t>
      </w:r>
      <w:r w:rsidR="004461AB" w:rsidRPr="00C411F0">
        <w:rPr>
          <w:color w:val="000000" w:themeColor="text1"/>
          <w:lang w:val="vi-VN"/>
        </w:rPr>
        <w:t xml:space="preserve">thuận lợi cho việc </w:t>
      </w:r>
      <w:r w:rsidR="00554EDE" w:rsidRPr="00C411F0">
        <w:rPr>
          <w:color w:val="000000" w:themeColor="text1"/>
          <w:lang w:val="vi-VN"/>
        </w:rPr>
        <w:t>thống kê, theo dõi, đánh giá tình hình cấp tín dụng xanh, phát hành trái phiếu xanh</w:t>
      </w:r>
      <w:r w:rsidR="00241218" w:rsidRPr="00C411F0">
        <w:rPr>
          <w:color w:val="000000" w:themeColor="text1"/>
          <w:lang w:val="vi-VN"/>
        </w:rPr>
        <w:t>, quản lý, phân bổ nguồn vốn đầu tư để thực hiện hiệu quả các mục tiêu BVMT và PTBV.</w:t>
      </w:r>
    </w:p>
    <w:p w14:paraId="65A0AF05" w14:textId="2F950A2A" w:rsidR="00002485" w:rsidRPr="00C411F0" w:rsidRDefault="005172D6" w:rsidP="00E8659C">
      <w:pPr>
        <w:widowControl w:val="0"/>
        <w:spacing w:before="120" w:line="340" w:lineRule="exact"/>
        <w:ind w:firstLine="720"/>
        <w:jc w:val="both"/>
        <w:rPr>
          <w:color w:val="000000" w:themeColor="text1"/>
          <w:spacing w:val="-2"/>
          <w:lang w:val="vi-VN"/>
        </w:rPr>
      </w:pPr>
      <w:r w:rsidRPr="00C411F0">
        <w:rPr>
          <w:color w:val="000000" w:themeColor="text1"/>
          <w:spacing w:val="-2"/>
          <w:lang w:val="vi-VN"/>
        </w:rPr>
        <w:t xml:space="preserve">- Quy định việc xác nhận đối với dự án thuộc Danh mục phân loại xanh đối với trường hợp chủ dự án đầu tư, chủ thể phát hành trái phiếu xanh có nhu cầu xác nhận để được hưởng chính sách ưu đãi, hỗ trợ của Nhà nước về tín dụng xanh, trái phiếu xanh theo quy định của </w:t>
      </w:r>
      <w:r w:rsidR="00241218" w:rsidRPr="00C411F0">
        <w:rPr>
          <w:color w:val="000000" w:themeColor="text1"/>
          <w:spacing w:val="-2"/>
          <w:lang w:val="vi-VN"/>
        </w:rPr>
        <w:t xml:space="preserve">Luật BVMT 2020 và </w:t>
      </w:r>
      <w:r w:rsidRPr="00C411F0">
        <w:rPr>
          <w:color w:val="000000" w:themeColor="text1"/>
          <w:spacing w:val="-2"/>
          <w:lang w:val="vi-VN"/>
        </w:rPr>
        <w:t>Nghị định số 08/2022/NĐ-CP.</w:t>
      </w:r>
    </w:p>
    <w:p w14:paraId="224A7D73" w14:textId="77777777" w:rsidR="00347EF0" w:rsidRPr="009605FD" w:rsidRDefault="00347EF0" w:rsidP="00347EF0">
      <w:pPr>
        <w:widowControl w:val="0"/>
        <w:tabs>
          <w:tab w:val="right" w:leader="dot" w:pos="7920"/>
        </w:tabs>
        <w:spacing w:before="80" w:line="376" w:lineRule="exact"/>
        <w:ind w:firstLine="454"/>
        <w:jc w:val="both"/>
        <w:rPr>
          <w:b/>
          <w:color w:val="000000" w:themeColor="text1"/>
          <w:lang w:val="vi-VN"/>
        </w:rPr>
      </w:pPr>
      <w:r w:rsidRPr="009605FD">
        <w:rPr>
          <w:b/>
          <w:color w:val="000000" w:themeColor="text1"/>
          <w:lang w:val="vi-VN"/>
        </w:rPr>
        <w:t>II. ĐÁNH GIÁ TÁC ĐỘNG CỦA CHÍNH SÁCH</w:t>
      </w:r>
    </w:p>
    <w:p w14:paraId="1CDE9ABE" w14:textId="25BBB4A1" w:rsidR="00712CC4" w:rsidRPr="00C411F0" w:rsidRDefault="00347EF0" w:rsidP="00347EF0">
      <w:pPr>
        <w:widowControl w:val="0"/>
        <w:tabs>
          <w:tab w:val="right" w:leader="dot" w:pos="7920"/>
        </w:tabs>
        <w:spacing w:before="80" w:line="376" w:lineRule="exact"/>
        <w:ind w:firstLine="454"/>
        <w:jc w:val="both"/>
        <w:rPr>
          <w:b/>
          <w:color w:val="000000" w:themeColor="text1"/>
          <w:lang w:val="vi-VN"/>
        </w:rPr>
      </w:pPr>
      <w:r w:rsidRPr="009605FD">
        <w:rPr>
          <w:b/>
          <w:color w:val="000000" w:themeColor="text1"/>
          <w:lang w:val="vi-VN"/>
        </w:rPr>
        <w:t>1. Chính sách 1:</w:t>
      </w:r>
      <w:r w:rsidR="00DF7101" w:rsidRPr="00C411F0">
        <w:rPr>
          <w:b/>
          <w:color w:val="000000" w:themeColor="text1"/>
          <w:lang w:val="vi-VN"/>
        </w:rPr>
        <w:t xml:space="preserve"> </w:t>
      </w:r>
      <w:r w:rsidR="00712CC4" w:rsidRPr="00C411F0">
        <w:rPr>
          <w:b/>
          <w:color w:val="000000" w:themeColor="text1"/>
          <w:lang w:val="vi-VN"/>
        </w:rPr>
        <w:t>Tiêu chí môi trường phân loại dự án được cấp tín dụng xanh, phát hành trái phiếu xanh</w:t>
      </w:r>
      <w:r w:rsidR="00581092" w:rsidRPr="00C411F0">
        <w:rPr>
          <w:b/>
          <w:color w:val="000000" w:themeColor="text1"/>
          <w:lang w:val="vi-VN"/>
        </w:rPr>
        <w:t xml:space="preserve"> (Danh mục phân loại xanh)</w:t>
      </w:r>
    </w:p>
    <w:p w14:paraId="404A4C14" w14:textId="34EA557E" w:rsidR="00DF7101" w:rsidRPr="00C411F0" w:rsidRDefault="00347EF0" w:rsidP="00347EF0">
      <w:pPr>
        <w:widowControl w:val="0"/>
        <w:tabs>
          <w:tab w:val="right" w:leader="dot" w:pos="7920"/>
        </w:tabs>
        <w:spacing w:before="80" w:line="376" w:lineRule="exact"/>
        <w:ind w:firstLine="454"/>
        <w:jc w:val="both"/>
        <w:rPr>
          <w:b/>
          <w:bCs/>
          <w:i/>
          <w:iCs/>
          <w:color w:val="000000" w:themeColor="text1"/>
          <w:lang w:val="vi-VN"/>
        </w:rPr>
      </w:pPr>
      <w:r w:rsidRPr="009605FD">
        <w:rPr>
          <w:b/>
          <w:bCs/>
          <w:i/>
          <w:iCs/>
          <w:color w:val="000000" w:themeColor="text1"/>
          <w:lang w:val="vi-VN"/>
        </w:rPr>
        <w:t>1.1. Xác định vấn đề bất cập</w:t>
      </w:r>
      <w:r w:rsidR="00DF7101" w:rsidRPr="00C411F0">
        <w:rPr>
          <w:b/>
          <w:bCs/>
          <w:i/>
          <w:iCs/>
          <w:color w:val="000000" w:themeColor="text1"/>
          <w:lang w:val="vi-VN"/>
        </w:rPr>
        <w:t xml:space="preserve">: </w:t>
      </w:r>
    </w:p>
    <w:p w14:paraId="406475BA" w14:textId="22795D25" w:rsidR="00536DF5" w:rsidRPr="00C411F0" w:rsidRDefault="00435D8D"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 xml:space="preserve">Trong những năm qua, khái niệm </w:t>
      </w:r>
      <w:r w:rsidRPr="00C411F0">
        <w:rPr>
          <w:bCs/>
          <w:color w:val="000000" w:themeColor="text1"/>
          <w:sz w:val="28"/>
          <w:szCs w:val="28"/>
          <w:lang w:val="vi-VN"/>
        </w:rPr>
        <w:t>“</w:t>
      </w:r>
      <w:r w:rsidR="00EF145F" w:rsidRPr="00C411F0">
        <w:rPr>
          <w:bCs/>
          <w:color w:val="000000" w:themeColor="text1"/>
          <w:sz w:val="28"/>
          <w:szCs w:val="28"/>
          <w:lang w:val="vi-VN"/>
        </w:rPr>
        <w:t>Danh mục xanh”, “</w:t>
      </w:r>
      <w:r w:rsidRPr="009605FD">
        <w:rPr>
          <w:bCs/>
          <w:color w:val="000000" w:themeColor="text1"/>
          <w:sz w:val="28"/>
          <w:szCs w:val="28"/>
          <w:lang w:val="vi-VN"/>
        </w:rPr>
        <w:t>Dự án xanh</w:t>
      </w:r>
      <w:r w:rsidRPr="00C411F0">
        <w:rPr>
          <w:bCs/>
          <w:color w:val="000000" w:themeColor="text1"/>
          <w:sz w:val="28"/>
          <w:szCs w:val="28"/>
          <w:lang w:val="vi-VN"/>
        </w:rPr>
        <w:t>”</w:t>
      </w:r>
      <w:r w:rsidRPr="009605FD">
        <w:rPr>
          <w:bCs/>
          <w:color w:val="000000" w:themeColor="text1"/>
          <w:sz w:val="28"/>
          <w:szCs w:val="28"/>
          <w:lang w:val="vi-VN"/>
        </w:rPr>
        <w:t xml:space="preserve"> đã được sử dụng khá rộng rãi </w:t>
      </w:r>
      <w:r w:rsidRPr="00C411F0">
        <w:rPr>
          <w:bCs/>
          <w:color w:val="000000" w:themeColor="text1"/>
          <w:sz w:val="28"/>
          <w:szCs w:val="28"/>
          <w:lang w:val="vi-VN"/>
        </w:rPr>
        <w:t>ở nước ta trong các lĩnh vực đầu tư, tài chính, ngân hàng, nông nghiệp, năng lượng</w:t>
      </w:r>
      <w:r w:rsidR="009B23D0" w:rsidRPr="00C411F0">
        <w:rPr>
          <w:bCs/>
          <w:color w:val="000000" w:themeColor="text1"/>
          <w:sz w:val="28"/>
          <w:szCs w:val="28"/>
          <w:lang w:val="vi-VN"/>
        </w:rPr>
        <w:t>, giao thông, xây dựng</w:t>
      </w:r>
      <w:r w:rsidRPr="00C411F0">
        <w:rPr>
          <w:bCs/>
          <w:color w:val="000000" w:themeColor="text1"/>
          <w:sz w:val="28"/>
          <w:szCs w:val="28"/>
          <w:lang w:val="vi-VN"/>
        </w:rPr>
        <w:t xml:space="preserve">… nhằm thực hiện chiến lược tăng trưởng xanh của các ngành, lĩnh vực. Việc quan tâm đầu tư, triển khai các dự án xanh với nội hàm chung là loại dự án đem lại lợi ích về môi trường đã tạo nên những hiệu ứng tích cực với một số thành công nhất định; góp phần </w:t>
      </w:r>
      <w:r w:rsidR="00581092" w:rsidRPr="00C411F0">
        <w:rPr>
          <w:bCs/>
          <w:color w:val="000000" w:themeColor="text1"/>
          <w:sz w:val="28"/>
          <w:szCs w:val="28"/>
          <w:lang w:val="vi-VN"/>
        </w:rPr>
        <w:t xml:space="preserve">thu hút và </w:t>
      </w:r>
      <w:r w:rsidRPr="00C411F0">
        <w:rPr>
          <w:bCs/>
          <w:color w:val="000000" w:themeColor="text1"/>
          <w:sz w:val="28"/>
          <w:szCs w:val="28"/>
          <w:lang w:val="vi-VN"/>
        </w:rPr>
        <w:t>nâng cao trách nhiệm, vai trò của các tổ chức, cá nhân, các ngành, lĩnh vực trong hoạt động bảo vệ môi trường. Tuy nhiên, cách hiểu</w:t>
      </w:r>
      <w:r w:rsidR="00536DF5" w:rsidRPr="00C411F0">
        <w:rPr>
          <w:bCs/>
          <w:color w:val="000000" w:themeColor="text1"/>
          <w:sz w:val="28"/>
          <w:szCs w:val="28"/>
          <w:lang w:val="vi-VN"/>
        </w:rPr>
        <w:t>, cách phân loại các</w:t>
      </w:r>
      <w:r w:rsidRPr="00C411F0">
        <w:rPr>
          <w:bCs/>
          <w:color w:val="000000" w:themeColor="text1"/>
          <w:sz w:val="28"/>
          <w:szCs w:val="28"/>
          <w:lang w:val="vi-VN"/>
        </w:rPr>
        <w:t xml:space="preserve"> </w:t>
      </w:r>
      <w:r w:rsidR="00536DF5" w:rsidRPr="00C411F0">
        <w:rPr>
          <w:bCs/>
          <w:color w:val="000000" w:themeColor="text1"/>
          <w:sz w:val="28"/>
          <w:szCs w:val="28"/>
          <w:lang w:val="vi-VN"/>
        </w:rPr>
        <w:t>d</w:t>
      </w:r>
      <w:r w:rsidRPr="00C411F0">
        <w:rPr>
          <w:bCs/>
          <w:color w:val="000000" w:themeColor="text1"/>
          <w:sz w:val="28"/>
          <w:szCs w:val="28"/>
          <w:lang w:val="vi-VN"/>
        </w:rPr>
        <w:t xml:space="preserve">ự án xanh đối với từng ngành, từng lĩnh vực và giữa các chủ thể của các hoạt động có liên </w:t>
      </w:r>
      <w:r w:rsidRPr="00C411F0">
        <w:rPr>
          <w:bCs/>
          <w:color w:val="000000" w:themeColor="text1"/>
          <w:sz w:val="28"/>
          <w:szCs w:val="28"/>
          <w:lang w:val="vi-VN"/>
        </w:rPr>
        <w:lastRenderedPageBreak/>
        <w:t xml:space="preserve">quan còn có những khác nhau do thiếu </w:t>
      </w:r>
      <w:r w:rsidR="00536DF5" w:rsidRPr="00C411F0">
        <w:rPr>
          <w:bCs/>
          <w:color w:val="000000" w:themeColor="text1"/>
          <w:sz w:val="28"/>
          <w:szCs w:val="28"/>
          <w:lang w:val="vi-VN"/>
        </w:rPr>
        <w:t xml:space="preserve">các </w:t>
      </w:r>
      <w:r w:rsidRPr="00C411F0">
        <w:rPr>
          <w:bCs/>
          <w:color w:val="000000" w:themeColor="text1"/>
          <w:sz w:val="28"/>
          <w:szCs w:val="28"/>
          <w:lang w:val="vi-VN"/>
        </w:rPr>
        <w:t>quy định pháp lý.</w:t>
      </w:r>
      <w:r w:rsidR="00604C4C" w:rsidRPr="00C411F0">
        <w:rPr>
          <w:bCs/>
          <w:color w:val="000000" w:themeColor="text1"/>
          <w:sz w:val="28"/>
          <w:szCs w:val="28"/>
          <w:lang w:val="vi-VN"/>
        </w:rPr>
        <w:t xml:space="preserve"> </w:t>
      </w:r>
      <w:r w:rsidR="00604C4C" w:rsidRPr="00C411F0">
        <w:rPr>
          <w:bCs/>
          <w:i/>
          <w:iCs/>
          <w:color w:val="000000" w:themeColor="text1"/>
          <w:sz w:val="28"/>
          <w:szCs w:val="28"/>
          <w:lang w:val="vi-VN"/>
        </w:rPr>
        <w:t>Đặc biệt, đến thời điểm hiện nay vẫn chưa có quy định pháp lý về các tiêu chí môi trường đối với dự án xanh hay dự án thuộc danh mục xanh để triển khai một cách đồng bộ, thống nhất và hiệu quả.</w:t>
      </w:r>
      <w:r w:rsidR="00604C4C" w:rsidRPr="00C411F0">
        <w:rPr>
          <w:bCs/>
          <w:color w:val="000000" w:themeColor="text1"/>
          <w:sz w:val="28"/>
          <w:szCs w:val="28"/>
          <w:lang w:val="vi-VN"/>
        </w:rPr>
        <w:t xml:space="preserve"> </w:t>
      </w:r>
    </w:p>
    <w:p w14:paraId="534EC8C1" w14:textId="32BB4A85" w:rsidR="00FC002B" w:rsidRPr="00C411F0" w:rsidRDefault="00FC002B"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Trên thực tế, </w:t>
      </w:r>
      <w:r w:rsidRPr="009605FD">
        <w:rPr>
          <w:bCs/>
          <w:color w:val="000000" w:themeColor="text1"/>
          <w:sz w:val="28"/>
          <w:szCs w:val="28"/>
          <w:lang w:val="vi-VN"/>
        </w:rPr>
        <w:t>để đáp ứng nhu cầu và trong</w:t>
      </w:r>
      <w:r w:rsidRPr="00C411F0">
        <w:rPr>
          <w:bCs/>
          <w:color w:val="000000" w:themeColor="text1"/>
          <w:sz w:val="28"/>
          <w:szCs w:val="28"/>
          <w:lang w:val="vi-VN"/>
        </w:rPr>
        <w:t xml:space="preserve"> </w:t>
      </w:r>
      <w:r w:rsidRPr="009605FD">
        <w:rPr>
          <w:bCs/>
          <w:color w:val="000000" w:themeColor="text1"/>
          <w:sz w:val="28"/>
          <w:szCs w:val="28"/>
          <w:lang w:val="vi-VN"/>
        </w:rPr>
        <w:t>xu thế phát triển chung, các hoạt động cấp tín dụng xanh, phát hành trái phiếu xanh đã và đang được tiến hành ở nước ta ngay cả khi chưa có quy định về các tiêu chí môi trường đối với các</w:t>
      </w:r>
      <w:r w:rsidRPr="00C411F0">
        <w:rPr>
          <w:bCs/>
          <w:color w:val="000000" w:themeColor="text1"/>
          <w:sz w:val="28"/>
          <w:szCs w:val="28"/>
          <w:lang w:val="vi-VN"/>
        </w:rPr>
        <w:t xml:space="preserve"> loại </w:t>
      </w:r>
      <w:r w:rsidRPr="009605FD">
        <w:rPr>
          <w:bCs/>
          <w:color w:val="000000" w:themeColor="text1"/>
          <w:sz w:val="28"/>
          <w:szCs w:val="28"/>
          <w:lang w:val="vi-VN"/>
        </w:rPr>
        <w:t>dự án</w:t>
      </w:r>
      <w:r w:rsidRPr="00C411F0">
        <w:rPr>
          <w:bCs/>
          <w:color w:val="000000" w:themeColor="text1"/>
          <w:sz w:val="28"/>
          <w:szCs w:val="28"/>
          <w:lang w:val="vi-VN"/>
        </w:rPr>
        <w:t xml:space="preserve"> này</w:t>
      </w:r>
      <w:r w:rsidRPr="009605FD">
        <w:rPr>
          <w:bCs/>
          <w:color w:val="000000" w:themeColor="text1"/>
          <w:sz w:val="28"/>
          <w:szCs w:val="28"/>
          <w:lang w:val="vi-VN"/>
        </w:rPr>
        <w:t xml:space="preserve">. </w:t>
      </w:r>
      <w:r w:rsidR="00A41526" w:rsidRPr="009605FD">
        <w:rPr>
          <w:bCs/>
          <w:color w:val="000000" w:themeColor="text1"/>
          <w:sz w:val="28"/>
          <w:szCs w:val="28"/>
          <w:lang w:val="vi-VN"/>
        </w:rPr>
        <w:t>Và</w:t>
      </w:r>
      <w:r w:rsidR="00A41526" w:rsidRPr="00C411F0">
        <w:rPr>
          <w:bCs/>
          <w:color w:val="000000" w:themeColor="text1"/>
          <w:sz w:val="28"/>
          <w:szCs w:val="28"/>
          <w:lang w:val="vi-VN"/>
        </w:rPr>
        <w:t xml:space="preserve"> để thuận lợi cho công tác thống kê, quản lý, một số Bộ, ngành đã ban hành văn bản hướng dẫn phần nào có liên quan đến việc phân loại dự án xanh.</w:t>
      </w:r>
    </w:p>
    <w:p w14:paraId="107876F2" w14:textId="77777777" w:rsidR="00FC002B" w:rsidRPr="00C411F0" w:rsidRDefault="00FC002B"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Trong</w:t>
      </w:r>
      <w:r w:rsidRPr="00C411F0">
        <w:rPr>
          <w:bCs/>
          <w:color w:val="000000" w:themeColor="text1"/>
          <w:sz w:val="28"/>
          <w:szCs w:val="28"/>
          <w:lang w:val="vi-VN"/>
        </w:rPr>
        <w:t xml:space="preserve"> lĩnh vực tín dụng, </w:t>
      </w:r>
      <w:r w:rsidRPr="009605FD">
        <w:rPr>
          <w:bCs/>
          <w:color w:val="000000" w:themeColor="text1"/>
          <w:sz w:val="28"/>
          <w:szCs w:val="28"/>
          <w:lang w:val="vi-VN"/>
        </w:rPr>
        <w:t>theo</w:t>
      </w:r>
      <w:r w:rsidRPr="00C411F0">
        <w:rPr>
          <w:bCs/>
          <w:color w:val="000000" w:themeColor="text1"/>
          <w:sz w:val="28"/>
          <w:szCs w:val="28"/>
          <w:lang w:val="vi-VN"/>
        </w:rPr>
        <w:t xml:space="preserve"> số liệu thống kê, báo cáo, t</w:t>
      </w:r>
      <w:r w:rsidRPr="009605FD">
        <w:rPr>
          <w:color w:val="000000" w:themeColor="text1"/>
          <w:sz w:val="28"/>
          <w:szCs w:val="28"/>
          <w:lang w:val="vi-VN"/>
        </w:rPr>
        <w:t>ính đến 31/12/2020, tổng dư nợ cho vay đối</w:t>
      </w:r>
      <w:r w:rsidRPr="00C411F0">
        <w:rPr>
          <w:color w:val="000000" w:themeColor="text1"/>
          <w:sz w:val="28"/>
          <w:szCs w:val="28"/>
          <w:lang w:val="vi-VN"/>
        </w:rPr>
        <w:t xml:space="preserve"> với các dự án </w:t>
      </w:r>
      <w:r w:rsidRPr="009605FD">
        <w:rPr>
          <w:color w:val="000000" w:themeColor="text1"/>
          <w:sz w:val="28"/>
          <w:szCs w:val="28"/>
          <w:lang w:val="vi-VN"/>
        </w:rPr>
        <w:t>xanh của</w:t>
      </w:r>
      <w:r w:rsidRPr="00C411F0">
        <w:rPr>
          <w:color w:val="000000" w:themeColor="text1"/>
          <w:sz w:val="28"/>
          <w:szCs w:val="28"/>
          <w:lang w:val="vi-VN"/>
        </w:rPr>
        <w:t xml:space="preserve"> các tổ chức tín dụng (TCTD) </w:t>
      </w:r>
      <w:r w:rsidRPr="009605FD">
        <w:rPr>
          <w:color w:val="000000" w:themeColor="text1"/>
          <w:sz w:val="28"/>
          <w:szCs w:val="28"/>
          <w:lang w:val="vi-VN"/>
        </w:rPr>
        <w:t>ước đạt 348.231,67 tỷ đồng, chiếm 3,78% tổng dư nợ của nền kinh tế</w:t>
      </w:r>
      <w:r w:rsidRPr="00C411F0">
        <w:rPr>
          <w:rStyle w:val="FootnoteReference"/>
          <w:color w:val="000000" w:themeColor="text1"/>
          <w:sz w:val="28"/>
          <w:szCs w:val="28"/>
        </w:rPr>
        <w:footnoteReference w:id="1"/>
      </w:r>
      <w:r w:rsidRPr="00C411F0">
        <w:rPr>
          <w:color w:val="000000" w:themeColor="text1"/>
          <w:sz w:val="28"/>
          <w:szCs w:val="28"/>
          <w:lang w:val="vi-VN"/>
        </w:rPr>
        <w:t>. Tổng dư nợ cấp tín dụng đối với lĩnh vực xanh giai đoạn 2017-2021 có mức tăng trưởng bình quân đạt hơn 25%/năm</w:t>
      </w:r>
      <w:r w:rsidRPr="00C411F0">
        <w:rPr>
          <w:rStyle w:val="FootnoteReference"/>
          <w:color w:val="000000" w:themeColor="text1"/>
          <w:sz w:val="28"/>
          <w:szCs w:val="28"/>
          <w:lang w:val="vi-VN"/>
        </w:rPr>
        <w:footnoteReference w:id="2"/>
      </w:r>
      <w:r w:rsidRPr="00C411F0">
        <w:rPr>
          <w:color w:val="000000" w:themeColor="text1"/>
          <w:sz w:val="28"/>
          <w:szCs w:val="28"/>
          <w:lang w:val="vi-VN"/>
        </w:rPr>
        <w:t xml:space="preserve">. </w:t>
      </w:r>
    </w:p>
    <w:p w14:paraId="7877EBCA" w14:textId="77777777" w:rsidR="00FC002B" w:rsidRPr="00C411F0" w:rsidRDefault="00FC002B" w:rsidP="00FC002B">
      <w:pPr>
        <w:pStyle w:val="NormalWeb"/>
        <w:widowControl w:val="0"/>
        <w:shd w:val="clear" w:color="auto" w:fill="FFFFFF"/>
        <w:spacing w:before="120" w:beforeAutospacing="0" w:after="0" w:afterAutospacing="0"/>
        <w:ind w:firstLine="720"/>
        <w:jc w:val="center"/>
        <w:rPr>
          <w:bCs/>
          <w:color w:val="000000" w:themeColor="text1"/>
          <w:sz w:val="28"/>
          <w:szCs w:val="28"/>
          <w:lang w:val="vi-VN"/>
        </w:rPr>
      </w:pPr>
      <w:r w:rsidRPr="00C411F0">
        <w:rPr>
          <w:bCs/>
          <w:noProof/>
          <w:color w:val="000000" w:themeColor="text1"/>
          <w:sz w:val="28"/>
          <w:szCs w:val="28"/>
        </w:rPr>
        <w:drawing>
          <wp:inline distT="0" distB="0" distL="0" distR="0" wp14:anchorId="65B667CF" wp14:editId="21B96491">
            <wp:extent cx="4154815" cy="2227944"/>
            <wp:effectExtent l="12700" t="12700" r="1079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4741" cy="2238629"/>
                    </a:xfrm>
                    <a:prstGeom prst="rect">
                      <a:avLst/>
                    </a:prstGeom>
                    <a:ln w="9525">
                      <a:solidFill>
                        <a:schemeClr val="accent1"/>
                      </a:solidFill>
                    </a:ln>
                  </pic:spPr>
                </pic:pic>
              </a:graphicData>
            </a:graphic>
          </wp:inline>
        </w:drawing>
      </w:r>
    </w:p>
    <w:p w14:paraId="2B9DA855" w14:textId="77777777" w:rsidR="00FC002B" w:rsidRPr="00C411F0" w:rsidRDefault="00FC002B" w:rsidP="00FC002B">
      <w:pPr>
        <w:pStyle w:val="NormalWeb"/>
        <w:widowControl w:val="0"/>
        <w:shd w:val="clear" w:color="auto" w:fill="FFFFFF"/>
        <w:spacing w:before="120" w:beforeAutospacing="0" w:after="0" w:afterAutospacing="0"/>
        <w:ind w:firstLine="720"/>
        <w:jc w:val="center"/>
        <w:rPr>
          <w:bCs/>
          <w:color w:val="000000" w:themeColor="text1"/>
          <w:sz w:val="26"/>
          <w:szCs w:val="26"/>
          <w:lang w:val="vi-VN"/>
        </w:rPr>
      </w:pPr>
      <w:r w:rsidRPr="00C411F0">
        <w:rPr>
          <w:bCs/>
          <w:color w:val="000000" w:themeColor="text1"/>
          <w:sz w:val="26"/>
          <w:szCs w:val="26"/>
          <w:lang w:val="vi-VN"/>
        </w:rPr>
        <w:t>Hình 1. Tăng trưởng dư nợ tín dụng xanh giai đoạn 2017 – 2021</w:t>
      </w:r>
    </w:p>
    <w:p w14:paraId="5A4F99C5" w14:textId="77777777" w:rsidR="00FC002B" w:rsidRPr="00C411F0" w:rsidRDefault="00FC002B" w:rsidP="00FC002B">
      <w:pPr>
        <w:pStyle w:val="NormalWeb"/>
        <w:widowControl w:val="0"/>
        <w:shd w:val="clear" w:color="auto" w:fill="FFFFFF"/>
        <w:spacing w:before="60" w:beforeAutospacing="0" w:after="0" w:afterAutospacing="0"/>
        <w:ind w:left="1440" w:firstLine="1111"/>
        <w:jc w:val="center"/>
        <w:rPr>
          <w:bCs/>
          <w:i/>
          <w:iCs/>
          <w:color w:val="000000" w:themeColor="text1"/>
          <w:sz w:val="26"/>
          <w:szCs w:val="26"/>
          <w:lang w:val="vi-VN"/>
        </w:rPr>
      </w:pPr>
      <w:r w:rsidRPr="00C411F0">
        <w:rPr>
          <w:bCs/>
          <w:i/>
          <w:iCs/>
          <w:color w:val="000000" w:themeColor="text1"/>
          <w:sz w:val="26"/>
          <w:szCs w:val="26"/>
          <w:lang w:val="vi-VN"/>
        </w:rPr>
        <w:t>(Nguồn số liệu: Ngân hàng Nhà nước, tháng 5/2022)</w:t>
      </w:r>
    </w:p>
    <w:p w14:paraId="4C2AD241" w14:textId="2FE69AA7" w:rsidR="005167A8" w:rsidRPr="00C411F0" w:rsidRDefault="00FC002B"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bCs/>
          <w:color w:val="000000" w:themeColor="text1"/>
          <w:sz w:val="28"/>
          <w:szCs w:val="28"/>
          <w:lang w:val="vi-VN"/>
        </w:rPr>
        <w:t>Đ</w:t>
      </w:r>
      <w:r w:rsidRPr="009605FD">
        <w:rPr>
          <w:color w:val="000000" w:themeColor="text1"/>
          <w:sz w:val="28"/>
          <w:szCs w:val="28"/>
          <w:lang w:val="vi-VN"/>
        </w:rPr>
        <w:t xml:space="preserve">ể thu thập thông tin phục vụ công tác chỉ đạo, điều hành, nắm bắt tình hình triển khai tín dụng xanh và đánh giá rủi ro môi trường của các </w:t>
      </w:r>
      <w:r w:rsidRPr="00C411F0">
        <w:rPr>
          <w:color w:val="000000" w:themeColor="text1"/>
          <w:sz w:val="28"/>
          <w:szCs w:val="28"/>
          <w:lang w:val="vi-VN"/>
        </w:rPr>
        <w:t>TCTD</w:t>
      </w:r>
      <w:r w:rsidRPr="009605FD">
        <w:rPr>
          <w:color w:val="000000" w:themeColor="text1"/>
          <w:sz w:val="28"/>
          <w:szCs w:val="28"/>
          <w:lang w:val="vi-VN"/>
        </w:rPr>
        <w:t>, từ</w:t>
      </w:r>
      <w:r w:rsidRPr="00C411F0">
        <w:rPr>
          <w:color w:val="000000" w:themeColor="text1"/>
          <w:sz w:val="28"/>
          <w:szCs w:val="28"/>
          <w:lang w:val="vi-VN"/>
        </w:rPr>
        <w:t xml:space="preserve"> cuối năm 2017, </w:t>
      </w:r>
      <w:r w:rsidRPr="009605FD">
        <w:rPr>
          <w:color w:val="000000" w:themeColor="text1"/>
          <w:sz w:val="28"/>
          <w:szCs w:val="28"/>
          <w:lang w:val="vi-VN"/>
        </w:rPr>
        <w:t>Ngân</w:t>
      </w:r>
      <w:r w:rsidRPr="00C411F0">
        <w:rPr>
          <w:color w:val="000000" w:themeColor="text1"/>
          <w:sz w:val="28"/>
          <w:szCs w:val="28"/>
          <w:lang w:val="vi-VN"/>
        </w:rPr>
        <w:t xml:space="preserve"> hàng Nhà nước (</w:t>
      </w:r>
      <w:r w:rsidRPr="009605FD">
        <w:rPr>
          <w:color w:val="000000" w:themeColor="text1"/>
          <w:sz w:val="28"/>
          <w:szCs w:val="28"/>
          <w:lang w:val="vi-VN"/>
        </w:rPr>
        <w:t>NHNN</w:t>
      </w:r>
      <w:r w:rsidRPr="00C411F0">
        <w:rPr>
          <w:color w:val="000000" w:themeColor="text1"/>
          <w:sz w:val="28"/>
          <w:szCs w:val="28"/>
          <w:lang w:val="vi-VN"/>
        </w:rPr>
        <w:t>)</w:t>
      </w:r>
      <w:r w:rsidRPr="009605FD">
        <w:rPr>
          <w:color w:val="000000" w:themeColor="text1"/>
          <w:sz w:val="28"/>
          <w:szCs w:val="28"/>
          <w:lang w:val="vi-VN"/>
        </w:rPr>
        <w:t xml:space="preserve"> đã có Công văn số 9050/NHNN-TD về việc báo cáo tình hình cấp tín dụng đối với các lĩnh vực xanh và đánh giá rủi ro môi trường, xã hội trong hoạt động cấp tín dụng. Theo</w:t>
      </w:r>
      <w:r w:rsidRPr="00C411F0">
        <w:rPr>
          <w:color w:val="000000" w:themeColor="text1"/>
          <w:sz w:val="28"/>
          <w:szCs w:val="28"/>
          <w:lang w:val="vi-VN"/>
        </w:rPr>
        <w:t xml:space="preserve"> </w:t>
      </w:r>
      <w:r w:rsidRPr="009605FD">
        <w:rPr>
          <w:color w:val="000000" w:themeColor="text1"/>
          <w:sz w:val="28"/>
          <w:szCs w:val="28"/>
          <w:lang w:val="vi-VN"/>
        </w:rPr>
        <w:t>đó, đã hướng dẫn thống kê các dự án, phương án xanh, bảo vệ môi trường, giảm thiểu và thích ứng với biến đổi khí hậu cho 12 lĩnh vực xanh</w:t>
      </w:r>
      <w:r w:rsidRPr="00C411F0">
        <w:rPr>
          <w:color w:val="000000" w:themeColor="text1"/>
          <w:sz w:val="28"/>
          <w:szCs w:val="28"/>
          <w:lang w:val="vi-VN"/>
        </w:rPr>
        <w:t xml:space="preserve">, bao gồm: 1) nông nghiệp xanh; 2) lâm nghiệp xanh; 3) công nghiệp xanh; 4) năng lượng tái tạo, năng lượng sạch; 5) tái chế, tái sử dụng các nguồn tài nguyên; 6) xử lý chất thải và phòng chống ô nhiễm; 7) bảo vệ môi trường thiên nhiên, phục hồi sinh thái và phòng chống thiên tai; 8) quản lý nước bền vững tại khu vực đô thị và nông thôn; 9) công trình xây dựng xanh; </w:t>
      </w:r>
      <w:r w:rsidRPr="00C411F0">
        <w:rPr>
          <w:color w:val="000000" w:themeColor="text1"/>
          <w:sz w:val="28"/>
          <w:szCs w:val="28"/>
          <w:lang w:val="vi-VN"/>
        </w:rPr>
        <w:lastRenderedPageBreak/>
        <w:t>10) giao thông bền vững; 11) cung cấp các dịch vụ BVMT, tiết kiệm tài nguyên và 12) các lĩnh vực xanh khác</w:t>
      </w:r>
      <w:r w:rsidRPr="00C411F0">
        <w:rPr>
          <w:rStyle w:val="FootnoteReference"/>
          <w:color w:val="000000" w:themeColor="text1"/>
          <w:sz w:val="28"/>
          <w:szCs w:val="28"/>
          <w:lang w:val="vi-VN"/>
        </w:rPr>
        <w:footnoteReference w:id="3"/>
      </w:r>
      <w:r w:rsidRPr="00C411F0">
        <w:rPr>
          <w:color w:val="000000" w:themeColor="text1"/>
          <w:sz w:val="28"/>
          <w:szCs w:val="28"/>
          <w:lang w:val="vi-VN"/>
        </w:rPr>
        <w:t>.</w:t>
      </w:r>
      <w:r w:rsidRPr="00C411F0">
        <w:rPr>
          <w:bCs/>
          <w:color w:val="000000" w:themeColor="text1"/>
          <w:sz w:val="28"/>
          <w:szCs w:val="28"/>
          <w:lang w:val="vi-VN"/>
        </w:rPr>
        <w:t xml:space="preserve"> </w:t>
      </w:r>
      <w:r w:rsidR="005167A8" w:rsidRPr="00C411F0">
        <w:rPr>
          <w:bCs/>
          <w:color w:val="000000" w:themeColor="text1"/>
          <w:sz w:val="28"/>
          <w:szCs w:val="28"/>
          <w:lang w:val="vi-VN"/>
        </w:rPr>
        <w:t xml:space="preserve">Đồng thời, trong giai đoạn 2018-2019, NHNN </w:t>
      </w:r>
      <w:r w:rsidR="005167A8" w:rsidRPr="009605FD">
        <w:rPr>
          <w:color w:val="000000" w:themeColor="text1"/>
          <w:sz w:val="28"/>
          <w:szCs w:val="28"/>
          <w:lang w:val="vi-VN"/>
        </w:rPr>
        <w:t xml:space="preserve">cũng đã ban hành Sổ tay Hướng dẫn đánh giá </w:t>
      </w:r>
      <w:r w:rsidR="002C52B8" w:rsidRPr="009605FD">
        <w:rPr>
          <w:color w:val="000000" w:themeColor="text1"/>
          <w:sz w:val="28"/>
          <w:szCs w:val="28"/>
          <w:lang w:val="vi-VN"/>
        </w:rPr>
        <w:t>rủi</w:t>
      </w:r>
      <w:r w:rsidR="002C52B8" w:rsidRPr="00C411F0">
        <w:rPr>
          <w:color w:val="000000" w:themeColor="text1"/>
          <w:sz w:val="28"/>
          <w:szCs w:val="28"/>
          <w:lang w:val="vi-VN"/>
        </w:rPr>
        <w:t xml:space="preserve"> ro môi trường và xã hội </w:t>
      </w:r>
      <w:r w:rsidR="005167A8" w:rsidRPr="009605FD">
        <w:rPr>
          <w:color w:val="000000" w:themeColor="text1"/>
          <w:sz w:val="28"/>
          <w:szCs w:val="28"/>
          <w:lang w:val="vi-VN"/>
        </w:rPr>
        <w:t>cho</w:t>
      </w:r>
      <w:r w:rsidR="002C52B8" w:rsidRPr="00C411F0">
        <w:rPr>
          <w:color w:val="000000" w:themeColor="text1"/>
          <w:sz w:val="28"/>
          <w:szCs w:val="28"/>
          <w:lang w:val="vi-VN"/>
        </w:rPr>
        <w:t xml:space="preserve"> </w:t>
      </w:r>
      <w:r w:rsidR="005167A8" w:rsidRPr="009605FD">
        <w:rPr>
          <w:color w:val="000000" w:themeColor="text1"/>
          <w:sz w:val="28"/>
          <w:szCs w:val="28"/>
          <w:lang w:val="vi-VN"/>
        </w:rPr>
        <w:t>15 ngành kinh tế</w:t>
      </w:r>
      <w:r w:rsidR="002C52B8" w:rsidRPr="00C411F0">
        <w:rPr>
          <w:color w:val="000000" w:themeColor="text1"/>
          <w:sz w:val="28"/>
          <w:szCs w:val="28"/>
          <w:lang w:val="vi-VN"/>
        </w:rPr>
        <w:t>, làm c</w:t>
      </w:r>
      <w:r w:rsidR="005167A8" w:rsidRPr="009605FD">
        <w:rPr>
          <w:color w:val="000000" w:themeColor="text1"/>
          <w:sz w:val="28"/>
          <w:szCs w:val="28"/>
          <w:lang w:val="vi-VN"/>
        </w:rPr>
        <w:t>ông cụ để các TCTD xác định các rủi ro môi trường khi thẩm định tín dụng cho các dự án, phương án sản xuất kinh doanh cho những ngành nghề có rủi ro cao về môi trường</w:t>
      </w:r>
      <w:r w:rsidR="002C52B8" w:rsidRPr="00C411F0">
        <w:rPr>
          <w:color w:val="000000" w:themeColor="text1"/>
          <w:sz w:val="28"/>
          <w:szCs w:val="28"/>
          <w:lang w:val="vi-VN"/>
        </w:rPr>
        <w:t xml:space="preserve">, </w:t>
      </w:r>
      <w:r w:rsidR="005167A8" w:rsidRPr="009605FD">
        <w:rPr>
          <w:color w:val="000000" w:themeColor="text1"/>
          <w:sz w:val="28"/>
          <w:szCs w:val="28"/>
          <w:lang w:val="vi-VN"/>
        </w:rPr>
        <w:t>xã hội.</w:t>
      </w:r>
    </w:p>
    <w:p w14:paraId="1BA6B690" w14:textId="515B3043" w:rsidR="00FC002B" w:rsidRPr="00C411F0" w:rsidRDefault="002C52B8" w:rsidP="00E8659C">
      <w:pPr>
        <w:pStyle w:val="NormalWeb"/>
        <w:widowControl w:val="0"/>
        <w:shd w:val="clear" w:color="auto" w:fill="FFFFFF"/>
        <w:spacing w:before="120" w:beforeAutospacing="0" w:after="0" w:afterAutospacing="0" w:line="340" w:lineRule="exact"/>
        <w:ind w:firstLine="720"/>
        <w:rPr>
          <w:bCs/>
          <w:i/>
          <w:iCs/>
          <w:color w:val="000000" w:themeColor="text1"/>
          <w:sz w:val="28"/>
          <w:szCs w:val="28"/>
          <w:lang w:val="vi-VN"/>
        </w:rPr>
      </w:pPr>
      <w:r w:rsidRPr="00C411F0">
        <w:rPr>
          <w:bCs/>
          <w:color w:val="000000" w:themeColor="text1"/>
          <w:sz w:val="28"/>
          <w:szCs w:val="28"/>
          <w:lang w:val="vi-VN"/>
        </w:rPr>
        <w:t xml:space="preserve">Các văn bản hướng dẫn của NHNN đã phần nào góp phần hỗ trợ hiệu quả cho các TCTD trong việc triển khai các hoạt động cấp tín dụng xanh. Tuy nhiên, </w:t>
      </w:r>
      <w:r w:rsidRPr="00C411F0">
        <w:rPr>
          <w:bCs/>
          <w:i/>
          <w:iCs/>
          <w:color w:val="000000" w:themeColor="text1"/>
          <w:sz w:val="28"/>
          <w:szCs w:val="28"/>
          <w:lang w:val="vi-VN"/>
        </w:rPr>
        <w:t xml:space="preserve">về cơ bản </w:t>
      </w:r>
      <w:r w:rsidR="00FC002B" w:rsidRPr="00C411F0">
        <w:rPr>
          <w:bCs/>
          <w:i/>
          <w:iCs/>
          <w:color w:val="000000" w:themeColor="text1"/>
          <w:sz w:val="28"/>
          <w:szCs w:val="28"/>
          <w:lang w:val="vi-VN"/>
        </w:rPr>
        <w:t xml:space="preserve">hướng dẫn thống kê về tín dụng xanh của NHNN chỉ </w:t>
      </w:r>
      <w:r w:rsidR="004F7227" w:rsidRPr="00C411F0">
        <w:rPr>
          <w:bCs/>
          <w:i/>
          <w:iCs/>
          <w:color w:val="000000" w:themeColor="text1"/>
          <w:sz w:val="28"/>
          <w:szCs w:val="28"/>
          <w:lang w:val="vi-VN"/>
        </w:rPr>
        <w:t xml:space="preserve">có tính chất hướng dẫn trong ngành, </w:t>
      </w:r>
      <w:r w:rsidR="00FC002B" w:rsidRPr="00C411F0">
        <w:rPr>
          <w:bCs/>
          <w:i/>
          <w:iCs/>
          <w:color w:val="000000" w:themeColor="text1"/>
          <w:sz w:val="28"/>
          <w:szCs w:val="28"/>
          <w:lang w:val="vi-VN"/>
        </w:rPr>
        <w:t>dừng lại ở mức độ phân loại các dự án theo tiêu chí ngành (kèm theo tên dự án để tham khảo) và hướng dẫn tham chiếu các quy định của ngành/lĩnh vực liên quan đến tăng trưởng xanh và phát triển bền vững; chưa có các tiêu chí môi trường cụ thể để phân loại dự án</w:t>
      </w:r>
      <w:r w:rsidR="004F7739" w:rsidRPr="00C411F0">
        <w:rPr>
          <w:bCs/>
          <w:color w:val="000000" w:themeColor="text1"/>
          <w:sz w:val="28"/>
          <w:szCs w:val="28"/>
          <w:lang w:val="vi-VN"/>
        </w:rPr>
        <w:t xml:space="preserve"> </w:t>
      </w:r>
      <w:r w:rsidR="004F7739" w:rsidRPr="00C411F0">
        <w:rPr>
          <w:bCs/>
          <w:i/>
          <w:iCs/>
          <w:color w:val="000000" w:themeColor="text1"/>
          <w:sz w:val="28"/>
          <w:szCs w:val="28"/>
          <w:lang w:val="vi-VN"/>
        </w:rPr>
        <w:t xml:space="preserve">dẫn đến việc gắn kết giữa tăng trưởng dư nợ tín dụng xanh với </w:t>
      </w:r>
      <w:r w:rsidR="007D0080" w:rsidRPr="00C411F0">
        <w:rPr>
          <w:bCs/>
          <w:i/>
          <w:iCs/>
          <w:color w:val="000000" w:themeColor="text1"/>
          <w:sz w:val="28"/>
          <w:szCs w:val="28"/>
          <w:lang w:val="vi-VN"/>
        </w:rPr>
        <w:t xml:space="preserve">thực hiện </w:t>
      </w:r>
      <w:r w:rsidR="004F7739" w:rsidRPr="00C411F0">
        <w:rPr>
          <w:bCs/>
          <w:i/>
          <w:iCs/>
          <w:color w:val="000000" w:themeColor="text1"/>
          <w:sz w:val="28"/>
          <w:szCs w:val="28"/>
          <w:lang w:val="vi-VN"/>
        </w:rPr>
        <w:t>các mục tiêu bảo vệ môi trường còn lỏng lẻo.</w:t>
      </w:r>
    </w:p>
    <w:p w14:paraId="12F59362" w14:textId="77777777" w:rsidR="00ED73AA" w:rsidRPr="00C411F0" w:rsidRDefault="00ED73AA" w:rsidP="00E8659C">
      <w:pPr>
        <w:widowControl w:val="0"/>
        <w:spacing w:before="120" w:line="340" w:lineRule="exact"/>
        <w:ind w:firstLine="720"/>
        <w:jc w:val="both"/>
        <w:rPr>
          <w:rFonts w:eastAsia="Calibri"/>
          <w:color w:val="000000" w:themeColor="text1"/>
          <w:lang w:val="vi-VN" w:eastAsia="x-none"/>
        </w:rPr>
      </w:pPr>
      <w:r w:rsidRPr="009605FD">
        <w:rPr>
          <w:color w:val="000000" w:themeColor="text1"/>
          <w:lang w:val="vi-VN"/>
        </w:rPr>
        <w:t>Trong</w:t>
      </w:r>
      <w:r w:rsidRPr="00C411F0">
        <w:rPr>
          <w:color w:val="000000" w:themeColor="text1"/>
          <w:lang w:val="vi-VN"/>
        </w:rPr>
        <w:t xml:space="preserve"> lĩnh vực trái phiếu, </w:t>
      </w:r>
      <w:r w:rsidRPr="009605FD">
        <w:rPr>
          <w:color w:val="000000" w:themeColor="text1"/>
          <w:lang w:val="vi-VN"/>
        </w:rPr>
        <w:t>từ năm 2016, trên cơ sở nhu cầu huy động vốn cho các dự án có tính chất bảo vệ môi trường thuộc nhiệm vụ chi của ngân sách địa phương, thành phố Hồ Chí Minh và tỉnh Bà Rịa Vũng Tàu đã</w:t>
      </w:r>
      <w:r w:rsidRPr="00C411F0">
        <w:rPr>
          <w:color w:val="000000" w:themeColor="text1"/>
          <w:lang w:val="vi-VN"/>
        </w:rPr>
        <w:t xml:space="preserve"> </w:t>
      </w:r>
      <w:r w:rsidRPr="009605FD">
        <w:rPr>
          <w:color w:val="000000" w:themeColor="text1"/>
          <w:lang w:val="vi-VN"/>
        </w:rPr>
        <w:t>phát hành thí điểm trái phiếu xanh, theo quy định về phát hành trái phiếu chính quyền địa phương</w:t>
      </w:r>
      <w:r w:rsidRPr="009605FD">
        <w:rPr>
          <w:rFonts w:eastAsia="Calibri"/>
          <w:color w:val="000000" w:themeColor="text1"/>
          <w:lang w:val="vi-VN" w:eastAsia="x-none"/>
        </w:rPr>
        <w:t>. Trong</w:t>
      </w:r>
      <w:r w:rsidRPr="00C411F0">
        <w:rPr>
          <w:rFonts w:eastAsia="Calibri"/>
          <w:color w:val="000000" w:themeColor="text1"/>
          <w:lang w:val="vi-VN" w:eastAsia="x-none"/>
        </w:rPr>
        <w:t xml:space="preserve"> đó, TP. </w:t>
      </w:r>
      <w:r w:rsidRPr="009605FD">
        <w:rPr>
          <w:color w:val="000000" w:themeColor="text1"/>
          <w:lang w:val="vi-VN"/>
        </w:rPr>
        <w:t>Hồ Chí Minh phát hành 3.000 tỷ đồng trái phiếu xanh kỳ hạn 15 năm để huy động vốn cho các dự án thuộc nhiệm vụ chi của ngân sách địa phương, trong đó có 11 dự án mang tính chất bảo vệ môi trường</w:t>
      </w:r>
      <w:r w:rsidRPr="00C411F0">
        <w:rPr>
          <w:color w:val="000000" w:themeColor="text1"/>
          <w:lang w:val="vi-VN"/>
        </w:rPr>
        <w:t xml:space="preserve">; </w:t>
      </w:r>
      <w:r w:rsidRPr="00C411F0">
        <w:rPr>
          <w:rFonts w:eastAsia="Calibri"/>
          <w:color w:val="000000" w:themeColor="text1"/>
          <w:lang w:val="vi-VN" w:eastAsia="x-none"/>
        </w:rPr>
        <w:t>t</w:t>
      </w:r>
      <w:r w:rsidRPr="009605FD">
        <w:rPr>
          <w:color w:val="000000" w:themeColor="text1"/>
          <w:lang w:val="vi-VN"/>
        </w:rPr>
        <w:t xml:space="preserve">ỉnh Bà Rịa </w:t>
      </w:r>
      <w:r w:rsidRPr="00C411F0">
        <w:rPr>
          <w:color w:val="000000" w:themeColor="text1"/>
          <w:lang w:val="vi-VN"/>
        </w:rPr>
        <w:t>-</w:t>
      </w:r>
      <w:r w:rsidRPr="009605FD">
        <w:rPr>
          <w:color w:val="000000" w:themeColor="text1"/>
          <w:lang w:val="vi-VN"/>
        </w:rPr>
        <w:t xml:space="preserve"> Vũng Tàu phát hành 500 tỷ đồng trái phiếu kỳ hạn 5 năm huy động vốn cho các dự án thuộc nhiệm vụ chi của ngân sách địa phương, trong đó có 01 dự án mang tính chất bảo vệ môi trường</w:t>
      </w:r>
      <w:r w:rsidRPr="00C411F0">
        <w:rPr>
          <w:rStyle w:val="FootnoteReference"/>
          <w:color w:val="000000" w:themeColor="text1"/>
        </w:rPr>
        <w:footnoteReference w:id="4"/>
      </w:r>
      <w:r w:rsidRPr="009605FD">
        <w:rPr>
          <w:color w:val="000000" w:themeColor="text1"/>
          <w:lang w:val="vi-VN"/>
        </w:rPr>
        <w:t>.</w:t>
      </w:r>
    </w:p>
    <w:p w14:paraId="4F90C7D3" w14:textId="44D5EDE8" w:rsidR="00FC002B" w:rsidRPr="00C411F0" w:rsidRDefault="00ED73AA"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color w:val="000000" w:themeColor="text1"/>
          <w:sz w:val="28"/>
          <w:szCs w:val="28"/>
          <w:lang w:val="vi-VN"/>
        </w:rPr>
        <w:t xml:space="preserve">Năm 2018, Chính phủ ban hành </w:t>
      </w:r>
      <w:r w:rsidR="00FC002B" w:rsidRPr="00C411F0">
        <w:rPr>
          <w:color w:val="000000" w:themeColor="text1"/>
          <w:sz w:val="28"/>
          <w:szCs w:val="28"/>
          <w:lang w:val="vi-VN"/>
        </w:rPr>
        <w:t xml:space="preserve">Nghị định số 95/2018/NĐ-CP </w:t>
      </w:r>
      <w:r w:rsidR="00876F8D" w:rsidRPr="009605FD">
        <w:rPr>
          <w:color w:val="000000" w:themeColor="text1"/>
          <w:sz w:val="28"/>
          <w:szCs w:val="28"/>
          <w:lang w:val="vi-VN"/>
        </w:rPr>
        <w:t xml:space="preserve">của Chính phủ </w:t>
      </w:r>
      <w:r w:rsidR="00FC002B" w:rsidRPr="00C411F0">
        <w:rPr>
          <w:color w:val="000000" w:themeColor="text1"/>
          <w:sz w:val="28"/>
          <w:szCs w:val="28"/>
          <w:lang w:val="vi-VN"/>
        </w:rPr>
        <w:t>ngày 30/6/2018</w:t>
      </w:r>
      <w:bookmarkStart w:id="1" w:name="loai_1_name"/>
      <w:r w:rsidRPr="00C411F0">
        <w:rPr>
          <w:color w:val="000000" w:themeColor="text1"/>
          <w:sz w:val="28"/>
          <w:szCs w:val="28"/>
          <w:lang w:val="vi-VN"/>
        </w:rPr>
        <w:t xml:space="preserve"> </w:t>
      </w:r>
      <w:r w:rsidR="00FC002B" w:rsidRPr="00C411F0">
        <w:rPr>
          <w:color w:val="000000" w:themeColor="text1"/>
          <w:sz w:val="28"/>
          <w:szCs w:val="28"/>
          <w:lang w:val="vi-VN"/>
        </w:rPr>
        <w:t>về phát hành, đăng ký, lưu ký, niêm yết và giao dịch công cụ nợ của Chính phủ trên thị trường chứng khoán</w:t>
      </w:r>
      <w:bookmarkEnd w:id="1"/>
      <w:r w:rsidRPr="00C411F0">
        <w:rPr>
          <w:color w:val="000000" w:themeColor="text1"/>
          <w:sz w:val="28"/>
          <w:szCs w:val="28"/>
          <w:lang w:val="vi-VN"/>
        </w:rPr>
        <w:t>, theo đó</w:t>
      </w:r>
      <w:r w:rsidR="00FC002B" w:rsidRPr="00C411F0">
        <w:rPr>
          <w:color w:val="000000" w:themeColor="text1"/>
          <w:sz w:val="28"/>
          <w:szCs w:val="28"/>
          <w:lang w:val="vi-VN"/>
        </w:rPr>
        <w:t xml:space="preserve"> quy định “Trái phiếu xanh là một loại trái phiếu Chính phủ được phát hành để đầu tư cho các dự án liên quan đến hoạt động </w:t>
      </w:r>
      <w:r w:rsidR="00AC017F" w:rsidRPr="009605FD">
        <w:rPr>
          <w:color w:val="000000" w:themeColor="text1"/>
          <w:sz w:val="28"/>
          <w:szCs w:val="28"/>
          <w:lang w:val="vi-VN"/>
        </w:rPr>
        <w:t>BVMT</w:t>
      </w:r>
      <w:r w:rsidR="00FC002B" w:rsidRPr="00C411F0">
        <w:rPr>
          <w:color w:val="000000" w:themeColor="text1"/>
          <w:sz w:val="28"/>
          <w:szCs w:val="28"/>
          <w:lang w:val="vi-VN"/>
        </w:rPr>
        <w:t xml:space="preserve"> theo quy định tại Luật </w:t>
      </w:r>
      <w:r w:rsidR="007D0080" w:rsidRPr="00C411F0">
        <w:rPr>
          <w:color w:val="000000" w:themeColor="text1"/>
          <w:sz w:val="28"/>
          <w:szCs w:val="28"/>
          <w:lang w:val="vi-VN"/>
        </w:rPr>
        <w:t>Bả</w:t>
      </w:r>
      <w:r w:rsidR="00FC002B" w:rsidRPr="00C411F0">
        <w:rPr>
          <w:color w:val="000000" w:themeColor="text1"/>
          <w:sz w:val="28"/>
          <w:szCs w:val="28"/>
          <w:lang w:val="vi-VN"/>
        </w:rPr>
        <w:t xml:space="preserve">o vệ môi trường (dự án xanh) và nằm trong danh mục dự án được phân bổ vốn đầu tư công theo quy định của Luật đầu tư công, Luật ngân sách nhà nước.” </w:t>
      </w:r>
      <w:r w:rsidR="00A41526" w:rsidRPr="00C411F0">
        <w:rPr>
          <w:color w:val="000000" w:themeColor="text1"/>
          <w:sz w:val="28"/>
          <w:szCs w:val="28"/>
          <w:lang w:val="vi-VN"/>
        </w:rPr>
        <w:t>Đồng thời</w:t>
      </w:r>
      <w:r w:rsidR="00FC002B" w:rsidRPr="00C411F0">
        <w:rPr>
          <w:color w:val="000000" w:themeColor="text1"/>
          <w:sz w:val="28"/>
          <w:szCs w:val="28"/>
          <w:lang w:val="vi-VN"/>
        </w:rPr>
        <w:t xml:space="preserve">, Bộ Kế hoạch và Đầu tư </w:t>
      </w:r>
      <w:r w:rsidR="004F7227" w:rsidRPr="00C411F0">
        <w:rPr>
          <w:color w:val="000000" w:themeColor="text1"/>
          <w:sz w:val="28"/>
          <w:szCs w:val="28"/>
          <w:lang w:val="vi-VN"/>
        </w:rPr>
        <w:t xml:space="preserve">cũng </w:t>
      </w:r>
      <w:r w:rsidR="00FC002B" w:rsidRPr="00C411F0">
        <w:rPr>
          <w:color w:val="000000" w:themeColor="text1"/>
          <w:sz w:val="28"/>
          <w:szCs w:val="28"/>
          <w:lang w:val="vi-VN"/>
        </w:rPr>
        <w:t xml:space="preserve">đã ban hành Quyết định số 1085/QĐ-BKHĐT ngày 16/7/2018 hướng dẫn phân loại đầu tư công cho biến đổi khí hậu và tăng trưởng xanh bao gồm 28 loại hình lĩnh vực nhằm giúp các Bộ, ngành và địa phương có công cụ để đánh giá việc phân bổ ngân sách đầu tư công cho ứng phó với biến đổi khí hậu và thúc đẩy tăng </w:t>
      </w:r>
      <w:r w:rsidR="00FC002B" w:rsidRPr="00C411F0">
        <w:rPr>
          <w:color w:val="000000" w:themeColor="text1"/>
          <w:sz w:val="28"/>
          <w:szCs w:val="28"/>
          <w:lang w:val="vi-VN"/>
        </w:rPr>
        <w:lastRenderedPageBreak/>
        <w:t xml:space="preserve">trưởng xanh ở cấp quốc gia, ngành và địa phương. </w:t>
      </w:r>
      <w:r w:rsidR="004F7227" w:rsidRPr="00C411F0">
        <w:rPr>
          <w:i/>
          <w:iCs/>
          <w:color w:val="000000" w:themeColor="text1"/>
          <w:sz w:val="28"/>
          <w:szCs w:val="28"/>
          <w:lang w:val="vi-VN"/>
        </w:rPr>
        <w:t xml:space="preserve">Quyết định </w:t>
      </w:r>
      <w:r w:rsidRPr="00C411F0">
        <w:rPr>
          <w:i/>
          <w:iCs/>
          <w:color w:val="000000" w:themeColor="text1"/>
          <w:sz w:val="28"/>
          <w:szCs w:val="28"/>
          <w:lang w:val="vi-VN"/>
        </w:rPr>
        <w:t xml:space="preserve">số 1085/QĐ-BKHĐT của Bộ Kế hoạch và Đầu tư </w:t>
      </w:r>
      <w:r w:rsidR="004F7227" w:rsidRPr="00C411F0">
        <w:rPr>
          <w:i/>
          <w:iCs/>
          <w:color w:val="000000" w:themeColor="text1"/>
          <w:sz w:val="28"/>
          <w:szCs w:val="28"/>
          <w:lang w:val="vi-VN"/>
        </w:rPr>
        <w:t xml:space="preserve">cũng </w:t>
      </w:r>
      <w:r w:rsidR="007D0080" w:rsidRPr="00C411F0">
        <w:rPr>
          <w:i/>
          <w:iCs/>
          <w:color w:val="000000" w:themeColor="text1"/>
          <w:sz w:val="28"/>
          <w:szCs w:val="28"/>
          <w:lang w:val="vi-VN"/>
        </w:rPr>
        <w:t xml:space="preserve">là </w:t>
      </w:r>
      <w:r w:rsidRPr="00C411F0">
        <w:rPr>
          <w:i/>
          <w:iCs/>
          <w:color w:val="000000" w:themeColor="text1"/>
          <w:sz w:val="28"/>
          <w:szCs w:val="28"/>
          <w:lang w:val="vi-VN"/>
        </w:rPr>
        <w:t xml:space="preserve">văn bản </w:t>
      </w:r>
      <w:r w:rsidR="004F7227" w:rsidRPr="00C411F0">
        <w:rPr>
          <w:i/>
          <w:iCs/>
          <w:color w:val="000000" w:themeColor="text1"/>
          <w:sz w:val="28"/>
          <w:szCs w:val="28"/>
          <w:lang w:val="vi-VN"/>
        </w:rPr>
        <w:t xml:space="preserve">hướng </w:t>
      </w:r>
      <w:r w:rsidR="00AF735C" w:rsidRPr="00C411F0">
        <w:rPr>
          <w:i/>
          <w:iCs/>
          <w:color w:val="000000" w:themeColor="text1"/>
          <w:sz w:val="28"/>
          <w:szCs w:val="28"/>
          <w:lang w:val="vi-VN"/>
        </w:rPr>
        <w:t>dẫn</w:t>
      </w:r>
      <w:r w:rsidRPr="00C411F0">
        <w:rPr>
          <w:i/>
          <w:iCs/>
          <w:color w:val="000000" w:themeColor="text1"/>
          <w:sz w:val="28"/>
          <w:szCs w:val="28"/>
          <w:lang w:val="vi-VN"/>
        </w:rPr>
        <w:t xml:space="preserve"> ngành</w:t>
      </w:r>
      <w:r w:rsidR="00A41526" w:rsidRPr="00C411F0">
        <w:rPr>
          <w:i/>
          <w:iCs/>
          <w:color w:val="000000" w:themeColor="text1"/>
          <w:sz w:val="28"/>
          <w:szCs w:val="28"/>
          <w:lang w:val="vi-VN"/>
        </w:rPr>
        <w:t>,</w:t>
      </w:r>
      <w:r w:rsidRPr="00C411F0">
        <w:rPr>
          <w:i/>
          <w:iCs/>
          <w:color w:val="000000" w:themeColor="text1"/>
          <w:sz w:val="28"/>
          <w:szCs w:val="28"/>
          <w:lang w:val="vi-VN"/>
        </w:rPr>
        <w:t xml:space="preserve"> trong đó</w:t>
      </w:r>
      <w:r w:rsidR="00AF735C" w:rsidRPr="00C411F0">
        <w:rPr>
          <w:i/>
          <w:iCs/>
          <w:color w:val="000000" w:themeColor="text1"/>
          <w:sz w:val="28"/>
          <w:szCs w:val="28"/>
          <w:lang w:val="vi-VN"/>
        </w:rPr>
        <w:t xml:space="preserve"> việc phân loại </w:t>
      </w:r>
      <w:r w:rsidRPr="00C411F0">
        <w:rPr>
          <w:i/>
          <w:iCs/>
          <w:color w:val="000000" w:themeColor="text1"/>
          <w:sz w:val="28"/>
          <w:szCs w:val="28"/>
          <w:lang w:val="vi-VN"/>
        </w:rPr>
        <w:t xml:space="preserve">các </w:t>
      </w:r>
      <w:r w:rsidR="00AF735C" w:rsidRPr="00C411F0">
        <w:rPr>
          <w:i/>
          <w:iCs/>
          <w:color w:val="000000" w:themeColor="text1"/>
          <w:sz w:val="28"/>
          <w:szCs w:val="28"/>
          <w:lang w:val="vi-VN"/>
        </w:rPr>
        <w:t xml:space="preserve">dự án </w:t>
      </w:r>
      <w:r w:rsidR="007F70C4" w:rsidRPr="00C411F0">
        <w:rPr>
          <w:i/>
          <w:iCs/>
          <w:color w:val="000000" w:themeColor="text1"/>
          <w:sz w:val="28"/>
          <w:szCs w:val="28"/>
          <w:lang w:val="vi-VN"/>
        </w:rPr>
        <w:t xml:space="preserve">(đầu tư công) </w:t>
      </w:r>
      <w:r w:rsidR="00AF735C" w:rsidRPr="00C411F0">
        <w:rPr>
          <w:i/>
          <w:iCs/>
          <w:color w:val="000000" w:themeColor="text1"/>
          <w:sz w:val="28"/>
          <w:szCs w:val="28"/>
          <w:lang w:val="vi-VN"/>
        </w:rPr>
        <w:t>chủ yếu trên cơ sở</w:t>
      </w:r>
      <w:r w:rsidR="00A41526" w:rsidRPr="00C411F0">
        <w:rPr>
          <w:i/>
          <w:iCs/>
          <w:color w:val="000000" w:themeColor="text1"/>
          <w:sz w:val="28"/>
          <w:szCs w:val="28"/>
          <w:lang w:val="vi-VN"/>
        </w:rPr>
        <w:t xml:space="preserve"> gắn </w:t>
      </w:r>
      <w:r w:rsidR="00AF735C" w:rsidRPr="00C411F0">
        <w:rPr>
          <w:i/>
          <w:iCs/>
          <w:color w:val="000000" w:themeColor="text1"/>
          <w:sz w:val="28"/>
          <w:szCs w:val="28"/>
          <w:lang w:val="vi-VN"/>
        </w:rPr>
        <w:t>với</w:t>
      </w:r>
      <w:r w:rsidR="00A41526" w:rsidRPr="00C411F0">
        <w:rPr>
          <w:i/>
          <w:iCs/>
          <w:color w:val="000000" w:themeColor="text1"/>
          <w:sz w:val="28"/>
          <w:szCs w:val="28"/>
          <w:lang w:val="vi-VN"/>
        </w:rPr>
        <w:t xml:space="preserve"> mục tiêu</w:t>
      </w:r>
      <w:r w:rsidR="007F70C4" w:rsidRPr="00C411F0">
        <w:rPr>
          <w:i/>
          <w:iCs/>
          <w:color w:val="000000" w:themeColor="text1"/>
          <w:sz w:val="28"/>
          <w:szCs w:val="28"/>
          <w:lang w:val="vi-VN"/>
        </w:rPr>
        <w:t xml:space="preserve"> về BĐKH-tăng trưởng xanh, gồm</w:t>
      </w:r>
      <w:r w:rsidR="00A41526" w:rsidRPr="00C411F0">
        <w:rPr>
          <w:i/>
          <w:iCs/>
          <w:color w:val="000000" w:themeColor="text1"/>
          <w:sz w:val="28"/>
          <w:szCs w:val="28"/>
          <w:lang w:val="vi-VN"/>
        </w:rPr>
        <w:t xml:space="preserve"> </w:t>
      </w:r>
      <w:r w:rsidRPr="00C411F0">
        <w:rPr>
          <w:i/>
          <w:iCs/>
          <w:color w:val="000000" w:themeColor="text1"/>
          <w:sz w:val="28"/>
          <w:szCs w:val="28"/>
          <w:lang w:val="vi-VN"/>
        </w:rPr>
        <w:t>thích ứng (A), hoặc giảm nhẹ (M) hoặc vừa thích ứng, vừa giảm nhẹ (AM)</w:t>
      </w:r>
      <w:r w:rsidR="007F70C4" w:rsidRPr="00C411F0">
        <w:rPr>
          <w:i/>
          <w:iCs/>
          <w:color w:val="000000" w:themeColor="text1"/>
          <w:sz w:val="28"/>
          <w:szCs w:val="28"/>
          <w:lang w:val="vi-VN"/>
        </w:rPr>
        <w:t>.</w:t>
      </w:r>
      <w:r w:rsidR="007F70C4" w:rsidRPr="00C411F0">
        <w:rPr>
          <w:color w:val="000000" w:themeColor="text1"/>
          <w:sz w:val="28"/>
          <w:szCs w:val="28"/>
          <w:lang w:val="vi-VN"/>
        </w:rPr>
        <w:t xml:space="preserve"> </w:t>
      </w:r>
      <w:r w:rsidR="00EB450D" w:rsidRPr="00C411F0">
        <w:rPr>
          <w:i/>
          <w:iCs/>
          <w:color w:val="000000" w:themeColor="text1"/>
          <w:sz w:val="28"/>
          <w:szCs w:val="28"/>
          <w:lang w:val="vi-VN"/>
        </w:rPr>
        <w:t>Hướng dẫn được sử dụng với mục tiêu chính nhằm tạo cơ sở theo dõi và báo cáo định kỳ về phân bổ vốn đầu tư công cho BĐKH-tăng trưởng xanh;</w:t>
      </w:r>
      <w:r w:rsidR="00EB450D" w:rsidRPr="00C411F0">
        <w:rPr>
          <w:color w:val="000000" w:themeColor="text1"/>
          <w:sz w:val="28"/>
          <w:szCs w:val="28"/>
          <w:lang w:val="vi-VN"/>
        </w:rPr>
        <w:t xml:space="preserve"> </w:t>
      </w:r>
      <w:r w:rsidR="00EB450D" w:rsidRPr="00C411F0">
        <w:rPr>
          <w:i/>
          <w:iCs/>
          <w:color w:val="000000" w:themeColor="text1"/>
          <w:sz w:val="28"/>
          <w:szCs w:val="28"/>
          <w:lang w:val="vi-VN"/>
        </w:rPr>
        <w:t xml:space="preserve">việc phân loại dự án </w:t>
      </w:r>
      <w:r w:rsidR="007F70C4" w:rsidRPr="00C411F0">
        <w:rPr>
          <w:i/>
          <w:iCs/>
          <w:color w:val="000000" w:themeColor="text1"/>
          <w:sz w:val="28"/>
          <w:szCs w:val="28"/>
          <w:lang w:val="vi-VN"/>
        </w:rPr>
        <w:t xml:space="preserve">không </w:t>
      </w:r>
      <w:r w:rsidR="00EB450D" w:rsidRPr="00C411F0">
        <w:rPr>
          <w:i/>
          <w:iCs/>
          <w:color w:val="000000" w:themeColor="text1"/>
          <w:sz w:val="28"/>
          <w:szCs w:val="28"/>
          <w:lang w:val="vi-VN"/>
        </w:rPr>
        <w:t xml:space="preserve">gắn với </w:t>
      </w:r>
      <w:r w:rsidR="007F70C4" w:rsidRPr="00C411F0">
        <w:rPr>
          <w:i/>
          <w:iCs/>
          <w:color w:val="000000" w:themeColor="text1"/>
          <w:sz w:val="28"/>
          <w:szCs w:val="28"/>
          <w:lang w:val="vi-VN"/>
        </w:rPr>
        <w:t>các tiêu chí môi trường cụ thể</w:t>
      </w:r>
      <w:r w:rsidR="00EB450D" w:rsidRPr="00C411F0">
        <w:rPr>
          <w:color w:val="000000" w:themeColor="text1"/>
          <w:sz w:val="28"/>
          <w:szCs w:val="28"/>
          <w:lang w:val="vi-VN"/>
        </w:rPr>
        <w:t>.</w:t>
      </w:r>
    </w:p>
    <w:p w14:paraId="10882DB9" w14:textId="212CC154" w:rsidR="00FC002B" w:rsidRPr="00C411F0" w:rsidRDefault="00FC002B"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color w:val="000000" w:themeColor="text1"/>
          <w:sz w:val="28"/>
          <w:szCs w:val="28"/>
          <w:lang w:val="vi-VN"/>
        </w:rPr>
        <w:t xml:space="preserve">Trong khuôn khổ hợp tác thúc đẩy tăng trưởng xanh với Tổ chức Tài chính Quốc tế (IFC), năm 2019 Bộ Tài nguyên và Môi trường cũng đã ban hành Tài liệu tham khảo - Tiêu chí đánh giá về môi trường cho dự án xanh, dự án có nguy cơ ô nhiễm môi trường. </w:t>
      </w:r>
      <w:r w:rsidR="00945E76" w:rsidRPr="00C411F0">
        <w:rPr>
          <w:color w:val="000000" w:themeColor="text1"/>
          <w:sz w:val="28"/>
          <w:szCs w:val="28"/>
          <w:lang w:val="vi-VN"/>
        </w:rPr>
        <w:t xml:space="preserve">Tài liệu </w:t>
      </w:r>
      <w:r w:rsidR="005C5EE8" w:rsidRPr="00C411F0">
        <w:rPr>
          <w:color w:val="000000" w:themeColor="text1"/>
          <w:sz w:val="28"/>
          <w:szCs w:val="28"/>
          <w:lang w:val="vi-VN"/>
        </w:rPr>
        <w:t xml:space="preserve">đưa ra bảng </w:t>
      </w:r>
      <w:r w:rsidR="002D6B0B" w:rsidRPr="00C411F0">
        <w:rPr>
          <w:color w:val="000000" w:themeColor="text1"/>
          <w:sz w:val="28"/>
          <w:szCs w:val="28"/>
          <w:lang w:val="vi-VN"/>
        </w:rPr>
        <w:t xml:space="preserve">tiêu chí định tính để </w:t>
      </w:r>
      <w:r w:rsidR="005C5EE8" w:rsidRPr="00C411F0">
        <w:rPr>
          <w:color w:val="000000" w:themeColor="text1"/>
          <w:sz w:val="28"/>
          <w:szCs w:val="28"/>
          <w:lang w:val="vi-VN"/>
        </w:rPr>
        <w:t xml:space="preserve">xem xét, </w:t>
      </w:r>
      <w:r w:rsidR="002D6B0B" w:rsidRPr="00C411F0">
        <w:rPr>
          <w:color w:val="000000" w:themeColor="text1"/>
          <w:sz w:val="28"/>
          <w:szCs w:val="28"/>
          <w:lang w:val="vi-VN"/>
        </w:rPr>
        <w:t>đánh giá</w:t>
      </w:r>
      <w:r w:rsidR="005C5EE8" w:rsidRPr="00C411F0">
        <w:rPr>
          <w:color w:val="000000" w:themeColor="text1"/>
          <w:sz w:val="28"/>
          <w:szCs w:val="28"/>
          <w:lang w:val="vi-VN"/>
        </w:rPr>
        <w:t xml:space="preserve"> </w:t>
      </w:r>
      <w:r w:rsidR="002D6B0B" w:rsidRPr="00C411F0">
        <w:rPr>
          <w:color w:val="000000" w:themeColor="text1"/>
          <w:sz w:val="28"/>
          <w:szCs w:val="28"/>
          <w:lang w:val="vi-VN"/>
        </w:rPr>
        <w:t xml:space="preserve">dự án </w:t>
      </w:r>
      <w:r w:rsidR="005C5EE8" w:rsidRPr="00C411F0">
        <w:rPr>
          <w:color w:val="000000" w:themeColor="text1"/>
          <w:sz w:val="28"/>
          <w:szCs w:val="28"/>
          <w:lang w:val="vi-VN"/>
        </w:rPr>
        <w:t>x</w:t>
      </w:r>
      <w:r w:rsidR="002D6B0B" w:rsidRPr="00C411F0">
        <w:rPr>
          <w:color w:val="000000" w:themeColor="text1"/>
          <w:sz w:val="28"/>
          <w:szCs w:val="28"/>
          <w:lang w:val="vi-VN"/>
        </w:rPr>
        <w:t xml:space="preserve">anh </w:t>
      </w:r>
      <w:r w:rsidR="005C5EE8" w:rsidRPr="00C411F0">
        <w:rPr>
          <w:color w:val="000000" w:themeColor="text1"/>
          <w:sz w:val="28"/>
          <w:szCs w:val="28"/>
          <w:lang w:val="vi-VN"/>
        </w:rPr>
        <w:t>và đề xuất</w:t>
      </w:r>
      <w:r w:rsidRPr="00C411F0">
        <w:rPr>
          <w:color w:val="000000" w:themeColor="text1"/>
          <w:sz w:val="28"/>
          <w:szCs w:val="28"/>
          <w:lang w:val="vi-VN"/>
        </w:rPr>
        <w:t xml:space="preserve"> Danh mục dự án xanh </w:t>
      </w:r>
      <w:r w:rsidR="00945E76" w:rsidRPr="00C411F0">
        <w:rPr>
          <w:color w:val="000000" w:themeColor="text1"/>
          <w:sz w:val="28"/>
          <w:szCs w:val="28"/>
          <w:lang w:val="vi-VN"/>
        </w:rPr>
        <w:t xml:space="preserve">với </w:t>
      </w:r>
      <w:r w:rsidRPr="00C411F0">
        <w:rPr>
          <w:color w:val="000000" w:themeColor="text1"/>
          <w:sz w:val="28"/>
          <w:szCs w:val="28"/>
          <w:lang w:val="vi-VN"/>
        </w:rPr>
        <w:t>14 lĩnh vực</w:t>
      </w:r>
      <w:r w:rsidR="00945E76" w:rsidRPr="00C411F0">
        <w:rPr>
          <w:color w:val="000000" w:themeColor="text1"/>
          <w:sz w:val="28"/>
          <w:szCs w:val="28"/>
          <w:lang w:val="vi-VN"/>
        </w:rPr>
        <w:t xml:space="preserve">, </w:t>
      </w:r>
      <w:r w:rsidRPr="00C411F0">
        <w:rPr>
          <w:color w:val="000000" w:themeColor="text1"/>
          <w:sz w:val="28"/>
          <w:szCs w:val="28"/>
          <w:lang w:val="vi-VN"/>
        </w:rPr>
        <w:t>65 nhóm loại hình dự án</w:t>
      </w:r>
      <w:r w:rsidR="005C5EE8" w:rsidRPr="00C411F0">
        <w:rPr>
          <w:color w:val="000000" w:themeColor="text1"/>
          <w:sz w:val="28"/>
          <w:szCs w:val="28"/>
          <w:lang w:val="vi-VN"/>
        </w:rPr>
        <w:t xml:space="preserve"> (kèm theo tên các loại dự án để tham khảo). </w:t>
      </w:r>
      <w:r w:rsidR="00A7205B" w:rsidRPr="00C411F0">
        <w:rPr>
          <w:color w:val="000000" w:themeColor="text1"/>
          <w:sz w:val="28"/>
          <w:szCs w:val="28"/>
          <w:lang w:val="vi-VN"/>
        </w:rPr>
        <w:t xml:space="preserve">Tuy nhiên, </w:t>
      </w:r>
      <w:r w:rsidR="00A7205B" w:rsidRPr="00C411F0">
        <w:rPr>
          <w:i/>
          <w:iCs/>
          <w:color w:val="000000" w:themeColor="text1"/>
          <w:sz w:val="28"/>
          <w:szCs w:val="28"/>
          <w:lang w:val="vi-VN"/>
        </w:rPr>
        <w:t xml:space="preserve">với tính chất là tài liệu tham khảo và các tiêu chí mang tính định tính, danh mục này </w:t>
      </w:r>
      <w:r w:rsidR="00DB1A9C" w:rsidRPr="00C411F0">
        <w:rPr>
          <w:i/>
          <w:iCs/>
          <w:color w:val="000000" w:themeColor="text1"/>
          <w:sz w:val="28"/>
          <w:szCs w:val="28"/>
          <w:lang w:val="vi-VN"/>
        </w:rPr>
        <w:t xml:space="preserve">trên thực tế </w:t>
      </w:r>
      <w:r w:rsidR="00A7205B" w:rsidRPr="00C411F0">
        <w:rPr>
          <w:i/>
          <w:iCs/>
          <w:color w:val="000000" w:themeColor="text1"/>
          <w:sz w:val="28"/>
          <w:szCs w:val="28"/>
          <w:lang w:val="vi-VN"/>
        </w:rPr>
        <w:t xml:space="preserve">không được </w:t>
      </w:r>
      <w:r w:rsidR="00DB1A9C" w:rsidRPr="00C411F0">
        <w:rPr>
          <w:i/>
          <w:iCs/>
          <w:color w:val="000000" w:themeColor="text1"/>
          <w:sz w:val="28"/>
          <w:szCs w:val="28"/>
          <w:lang w:val="vi-VN"/>
        </w:rPr>
        <w:t xml:space="preserve">các </w:t>
      </w:r>
      <w:r w:rsidR="00A7205B" w:rsidRPr="00C411F0">
        <w:rPr>
          <w:i/>
          <w:iCs/>
          <w:color w:val="000000" w:themeColor="text1"/>
          <w:sz w:val="28"/>
          <w:szCs w:val="28"/>
          <w:lang w:val="vi-VN"/>
        </w:rPr>
        <w:t>TCTD, đơn vị phát hành trái phiếu, các Bộ, ngành quản lý, các nhà đầu tư…</w:t>
      </w:r>
      <w:r w:rsidR="00DB1A9C" w:rsidRPr="00C411F0">
        <w:rPr>
          <w:i/>
          <w:iCs/>
          <w:color w:val="000000" w:themeColor="text1"/>
          <w:sz w:val="28"/>
          <w:szCs w:val="28"/>
          <w:lang w:val="vi-VN"/>
        </w:rPr>
        <w:t xml:space="preserve"> </w:t>
      </w:r>
      <w:r w:rsidR="00A7205B" w:rsidRPr="00C411F0">
        <w:rPr>
          <w:i/>
          <w:iCs/>
          <w:color w:val="000000" w:themeColor="text1"/>
          <w:sz w:val="28"/>
          <w:szCs w:val="28"/>
          <w:lang w:val="vi-VN"/>
        </w:rPr>
        <w:t xml:space="preserve">sử dụng </w:t>
      </w:r>
      <w:r w:rsidR="00945E76" w:rsidRPr="00C411F0">
        <w:rPr>
          <w:i/>
          <w:iCs/>
          <w:color w:val="000000" w:themeColor="text1"/>
          <w:sz w:val="28"/>
          <w:szCs w:val="28"/>
          <w:lang w:val="vi-VN"/>
        </w:rPr>
        <w:t xml:space="preserve">rộng rãi </w:t>
      </w:r>
      <w:r w:rsidR="00A7205B" w:rsidRPr="00C411F0">
        <w:rPr>
          <w:i/>
          <w:iCs/>
          <w:color w:val="000000" w:themeColor="text1"/>
          <w:sz w:val="28"/>
          <w:szCs w:val="28"/>
          <w:lang w:val="vi-VN"/>
        </w:rPr>
        <w:t>trong quá trình triển khai các hoạt động</w:t>
      </w:r>
      <w:r w:rsidR="00945E76" w:rsidRPr="00C411F0">
        <w:rPr>
          <w:i/>
          <w:iCs/>
          <w:color w:val="000000" w:themeColor="text1"/>
          <w:sz w:val="28"/>
          <w:szCs w:val="28"/>
          <w:lang w:val="vi-VN"/>
        </w:rPr>
        <w:t xml:space="preserve"> </w:t>
      </w:r>
      <w:r w:rsidR="007D0080" w:rsidRPr="00C411F0">
        <w:rPr>
          <w:i/>
          <w:iCs/>
          <w:color w:val="000000" w:themeColor="text1"/>
          <w:sz w:val="28"/>
          <w:szCs w:val="28"/>
          <w:lang w:val="vi-VN"/>
        </w:rPr>
        <w:t>tài chính xanh</w:t>
      </w:r>
      <w:r w:rsidR="00945E76" w:rsidRPr="00C411F0">
        <w:rPr>
          <w:i/>
          <w:iCs/>
          <w:color w:val="000000" w:themeColor="text1"/>
          <w:sz w:val="28"/>
          <w:szCs w:val="28"/>
          <w:lang w:val="vi-VN"/>
        </w:rPr>
        <w:t>.</w:t>
      </w:r>
    </w:p>
    <w:p w14:paraId="4CB75AB1" w14:textId="62D9D92E" w:rsidR="00604C4C" w:rsidRPr="00C411F0" w:rsidRDefault="004705C9"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V</w:t>
      </w:r>
      <w:r w:rsidR="00291035" w:rsidRPr="00C411F0">
        <w:rPr>
          <w:bCs/>
          <w:color w:val="000000" w:themeColor="text1"/>
          <w:sz w:val="28"/>
          <w:szCs w:val="28"/>
          <w:lang w:val="vi-VN"/>
        </w:rPr>
        <w:t xml:space="preserve">iệc </w:t>
      </w:r>
      <w:r w:rsidR="00483190" w:rsidRPr="00C411F0">
        <w:rPr>
          <w:bCs/>
          <w:color w:val="000000" w:themeColor="text1"/>
          <w:sz w:val="28"/>
          <w:szCs w:val="28"/>
          <w:lang w:val="vi-VN"/>
        </w:rPr>
        <w:t xml:space="preserve">thiếu quy định pháp lý cụ thể, rõ ràng, đầy đủ </w:t>
      </w:r>
      <w:r w:rsidRPr="00C411F0">
        <w:rPr>
          <w:bCs/>
          <w:color w:val="000000" w:themeColor="text1"/>
          <w:sz w:val="28"/>
          <w:szCs w:val="28"/>
          <w:lang w:val="vi-VN"/>
        </w:rPr>
        <w:t xml:space="preserve">về </w:t>
      </w:r>
      <w:r w:rsidR="00291035" w:rsidRPr="00C411F0">
        <w:rPr>
          <w:bCs/>
          <w:color w:val="000000" w:themeColor="text1"/>
          <w:sz w:val="28"/>
          <w:szCs w:val="28"/>
          <w:lang w:val="vi-VN"/>
        </w:rPr>
        <w:t xml:space="preserve">các tiêu chí môi trường </w:t>
      </w:r>
      <w:r w:rsidRPr="00C411F0">
        <w:rPr>
          <w:bCs/>
          <w:color w:val="000000" w:themeColor="text1"/>
          <w:sz w:val="28"/>
          <w:szCs w:val="28"/>
          <w:lang w:val="vi-VN"/>
        </w:rPr>
        <w:t xml:space="preserve">đối với dự án xanh </w:t>
      </w:r>
      <w:r w:rsidR="00B90D07" w:rsidRPr="00C411F0">
        <w:rPr>
          <w:bCs/>
          <w:color w:val="000000" w:themeColor="text1"/>
          <w:sz w:val="28"/>
          <w:szCs w:val="28"/>
          <w:lang w:val="vi-VN"/>
        </w:rPr>
        <w:t xml:space="preserve">đã </w:t>
      </w:r>
      <w:r w:rsidR="000E5105" w:rsidRPr="00C411F0">
        <w:rPr>
          <w:bCs/>
          <w:color w:val="000000" w:themeColor="text1"/>
          <w:sz w:val="28"/>
          <w:szCs w:val="28"/>
          <w:lang w:val="vi-VN"/>
        </w:rPr>
        <w:t xml:space="preserve">và sẽ </w:t>
      </w:r>
      <w:r w:rsidRPr="00C411F0">
        <w:rPr>
          <w:bCs/>
          <w:color w:val="000000" w:themeColor="text1"/>
          <w:sz w:val="28"/>
          <w:szCs w:val="28"/>
          <w:lang w:val="vi-VN"/>
        </w:rPr>
        <w:t xml:space="preserve">dẫn đến những </w:t>
      </w:r>
      <w:r w:rsidR="00970583" w:rsidRPr="00C411F0">
        <w:rPr>
          <w:bCs/>
          <w:color w:val="000000" w:themeColor="text1"/>
          <w:sz w:val="28"/>
          <w:szCs w:val="28"/>
          <w:lang w:val="vi-VN"/>
        </w:rPr>
        <w:t xml:space="preserve">bất cập, </w:t>
      </w:r>
      <w:r w:rsidR="00B90D07" w:rsidRPr="00C411F0">
        <w:rPr>
          <w:bCs/>
          <w:color w:val="000000" w:themeColor="text1"/>
          <w:sz w:val="28"/>
          <w:szCs w:val="28"/>
          <w:lang w:val="vi-VN"/>
        </w:rPr>
        <w:t>khó khăn, hạn chế</w:t>
      </w:r>
      <w:r w:rsidR="00970583" w:rsidRPr="00C411F0">
        <w:rPr>
          <w:bCs/>
          <w:color w:val="000000" w:themeColor="text1"/>
          <w:sz w:val="28"/>
          <w:szCs w:val="28"/>
          <w:lang w:val="vi-VN"/>
        </w:rPr>
        <w:t xml:space="preserve"> chính sau</w:t>
      </w:r>
      <w:r w:rsidR="00B90D07" w:rsidRPr="00C411F0">
        <w:rPr>
          <w:bCs/>
          <w:color w:val="000000" w:themeColor="text1"/>
          <w:sz w:val="28"/>
          <w:szCs w:val="28"/>
          <w:lang w:val="vi-VN"/>
        </w:rPr>
        <w:t xml:space="preserve">: </w:t>
      </w:r>
    </w:p>
    <w:p w14:paraId="6BBA0BA0" w14:textId="5C2D2E1F" w:rsidR="004705C9" w:rsidRPr="00C411F0" w:rsidRDefault="004705C9" w:rsidP="00E8659C">
      <w:pPr>
        <w:pStyle w:val="NormalWeb"/>
        <w:widowControl w:val="0"/>
        <w:numPr>
          <w:ilvl w:val="0"/>
          <w:numId w:val="6"/>
        </w:numPr>
        <w:shd w:val="clear" w:color="auto" w:fill="FFFFFF"/>
        <w:tabs>
          <w:tab w:val="left" w:pos="993"/>
        </w:tabs>
        <w:spacing w:before="120" w:beforeAutospacing="0" w:after="0" w:afterAutospacing="0" w:line="340" w:lineRule="exact"/>
        <w:ind w:left="0" w:firstLine="720"/>
        <w:rPr>
          <w:bCs/>
          <w:i/>
          <w:iCs/>
          <w:color w:val="000000" w:themeColor="text1"/>
          <w:sz w:val="28"/>
          <w:szCs w:val="28"/>
          <w:lang w:val="vi-VN"/>
        </w:rPr>
      </w:pPr>
      <w:r w:rsidRPr="00C411F0">
        <w:rPr>
          <w:bCs/>
          <w:i/>
          <w:iCs/>
          <w:color w:val="000000" w:themeColor="text1"/>
          <w:sz w:val="28"/>
          <w:szCs w:val="28"/>
          <w:lang w:val="vi-VN"/>
        </w:rPr>
        <w:t xml:space="preserve">Thiếu </w:t>
      </w:r>
      <w:r w:rsidR="00970583" w:rsidRPr="00C411F0">
        <w:rPr>
          <w:bCs/>
          <w:i/>
          <w:iCs/>
          <w:color w:val="000000" w:themeColor="text1"/>
          <w:sz w:val="28"/>
          <w:szCs w:val="28"/>
          <w:lang w:val="vi-VN"/>
        </w:rPr>
        <w:t xml:space="preserve">căn cứ pháp lý, </w:t>
      </w:r>
      <w:r w:rsidRPr="00C411F0">
        <w:rPr>
          <w:bCs/>
          <w:i/>
          <w:iCs/>
          <w:color w:val="000000" w:themeColor="text1"/>
          <w:sz w:val="28"/>
          <w:szCs w:val="28"/>
          <w:lang w:val="vi-VN"/>
        </w:rPr>
        <w:t xml:space="preserve">cơ sở </w:t>
      </w:r>
      <w:r w:rsidR="00483190" w:rsidRPr="00C411F0">
        <w:rPr>
          <w:bCs/>
          <w:i/>
          <w:iCs/>
          <w:color w:val="000000" w:themeColor="text1"/>
          <w:sz w:val="28"/>
          <w:szCs w:val="28"/>
          <w:lang w:val="vi-VN"/>
        </w:rPr>
        <w:t xml:space="preserve">rõ ràng để </w:t>
      </w:r>
      <w:r w:rsidRPr="00C411F0">
        <w:rPr>
          <w:bCs/>
          <w:i/>
          <w:iCs/>
          <w:color w:val="000000" w:themeColor="text1"/>
          <w:sz w:val="28"/>
          <w:szCs w:val="28"/>
          <w:lang w:val="vi-VN"/>
        </w:rPr>
        <w:t>phân</w:t>
      </w:r>
      <w:r w:rsidR="00483190" w:rsidRPr="00C411F0">
        <w:rPr>
          <w:bCs/>
          <w:i/>
          <w:iCs/>
          <w:color w:val="000000" w:themeColor="text1"/>
          <w:sz w:val="28"/>
          <w:szCs w:val="28"/>
          <w:lang w:val="vi-VN"/>
        </w:rPr>
        <w:t xml:space="preserve"> loại dự án xanh, </w:t>
      </w:r>
      <w:r w:rsidR="00B90D07" w:rsidRPr="00C411F0">
        <w:rPr>
          <w:bCs/>
          <w:i/>
          <w:iCs/>
          <w:color w:val="000000" w:themeColor="text1"/>
          <w:sz w:val="28"/>
          <w:szCs w:val="28"/>
          <w:lang w:val="vi-VN"/>
        </w:rPr>
        <w:t xml:space="preserve">gây lúng túng, </w:t>
      </w:r>
      <w:r w:rsidR="00483190" w:rsidRPr="00C411F0">
        <w:rPr>
          <w:bCs/>
          <w:i/>
          <w:iCs/>
          <w:color w:val="000000" w:themeColor="text1"/>
          <w:sz w:val="28"/>
          <w:szCs w:val="28"/>
          <w:lang w:val="vi-VN"/>
        </w:rPr>
        <w:t xml:space="preserve">khó khăn, </w:t>
      </w:r>
      <w:r w:rsidR="00B90D07" w:rsidRPr="00C411F0">
        <w:rPr>
          <w:bCs/>
          <w:i/>
          <w:iCs/>
          <w:color w:val="000000" w:themeColor="text1"/>
          <w:sz w:val="28"/>
          <w:szCs w:val="28"/>
          <w:lang w:val="vi-VN"/>
        </w:rPr>
        <w:t xml:space="preserve">vướng mắc cho các bên liên quan </w:t>
      </w:r>
      <w:r w:rsidR="00483190" w:rsidRPr="00C411F0">
        <w:rPr>
          <w:bCs/>
          <w:i/>
          <w:iCs/>
          <w:color w:val="000000" w:themeColor="text1"/>
          <w:sz w:val="28"/>
          <w:szCs w:val="28"/>
          <w:lang w:val="vi-VN"/>
        </w:rPr>
        <w:t xml:space="preserve">trong </w:t>
      </w:r>
      <w:r w:rsidR="00B90D07" w:rsidRPr="00C411F0">
        <w:rPr>
          <w:bCs/>
          <w:i/>
          <w:iCs/>
          <w:color w:val="000000" w:themeColor="text1"/>
          <w:sz w:val="28"/>
          <w:szCs w:val="28"/>
          <w:lang w:val="vi-VN"/>
        </w:rPr>
        <w:t xml:space="preserve">quá trình </w:t>
      </w:r>
      <w:r w:rsidR="00483190" w:rsidRPr="00C411F0">
        <w:rPr>
          <w:bCs/>
          <w:i/>
          <w:iCs/>
          <w:color w:val="000000" w:themeColor="text1"/>
          <w:sz w:val="28"/>
          <w:szCs w:val="28"/>
          <w:lang w:val="vi-VN"/>
        </w:rPr>
        <w:t>triển kha</w:t>
      </w:r>
      <w:r w:rsidR="00B90D07" w:rsidRPr="00C411F0">
        <w:rPr>
          <w:bCs/>
          <w:i/>
          <w:iCs/>
          <w:color w:val="000000" w:themeColor="text1"/>
          <w:sz w:val="28"/>
          <w:szCs w:val="28"/>
          <w:lang w:val="vi-VN"/>
        </w:rPr>
        <w:t>i và</w:t>
      </w:r>
      <w:r w:rsidR="00483190" w:rsidRPr="00C411F0">
        <w:rPr>
          <w:bCs/>
          <w:i/>
          <w:iCs/>
          <w:color w:val="000000" w:themeColor="text1"/>
          <w:sz w:val="28"/>
          <w:szCs w:val="28"/>
          <w:lang w:val="vi-VN"/>
        </w:rPr>
        <w:t xml:space="preserve"> quản lý</w:t>
      </w:r>
      <w:r w:rsidR="00970583" w:rsidRPr="00C411F0">
        <w:rPr>
          <w:bCs/>
          <w:i/>
          <w:iCs/>
          <w:color w:val="000000" w:themeColor="text1"/>
          <w:sz w:val="28"/>
          <w:szCs w:val="28"/>
          <w:lang w:val="vi-VN"/>
        </w:rPr>
        <w:t>:</w:t>
      </w:r>
    </w:p>
    <w:p w14:paraId="67661CDF" w14:textId="267797DF" w:rsidR="00B90D07" w:rsidRPr="00C411F0" w:rsidRDefault="00B90D07"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bCs/>
          <w:color w:val="000000" w:themeColor="text1"/>
          <w:sz w:val="28"/>
          <w:szCs w:val="28"/>
          <w:lang w:val="vi-VN"/>
        </w:rPr>
        <w:t>Báo cáo kết quả triển khai Đề án Ngân hàng xanh tại Việt Nam giai đoạn 2018-2020</w:t>
      </w:r>
      <w:r w:rsidR="005167A8" w:rsidRPr="00C411F0">
        <w:rPr>
          <w:bCs/>
          <w:color w:val="000000" w:themeColor="text1"/>
          <w:sz w:val="28"/>
          <w:szCs w:val="28"/>
          <w:lang w:val="vi-VN"/>
        </w:rPr>
        <w:t xml:space="preserve"> </w:t>
      </w:r>
      <w:r w:rsidRPr="00C411F0">
        <w:rPr>
          <w:bCs/>
          <w:color w:val="000000" w:themeColor="text1"/>
          <w:sz w:val="28"/>
          <w:szCs w:val="28"/>
          <w:lang w:val="vi-VN"/>
        </w:rPr>
        <w:t xml:space="preserve">đã nhấn mạnh một trong những khó khăn, vướng mắc chính đối với </w:t>
      </w:r>
      <w:r w:rsidRPr="00C411F0">
        <w:rPr>
          <w:bCs/>
          <w:color w:val="000000" w:themeColor="text1"/>
          <w:spacing w:val="-2"/>
          <w:sz w:val="28"/>
          <w:szCs w:val="28"/>
          <w:lang w:val="vi-VN"/>
        </w:rPr>
        <w:t xml:space="preserve">việc phát triển tín dụng xanh, ngân hàng xanh là </w:t>
      </w:r>
      <w:r w:rsidRPr="00C411F0">
        <w:rPr>
          <w:bCs/>
          <w:i/>
          <w:iCs/>
          <w:color w:val="000000" w:themeColor="text1"/>
          <w:spacing w:val="-2"/>
          <w:sz w:val="28"/>
          <w:szCs w:val="28"/>
          <w:lang w:val="vi-VN"/>
        </w:rPr>
        <w:t>“</w:t>
      </w:r>
      <w:r w:rsidRPr="009605FD">
        <w:rPr>
          <w:i/>
          <w:iCs/>
          <w:color w:val="000000" w:themeColor="text1"/>
          <w:spacing w:val="-2"/>
          <w:sz w:val="28"/>
          <w:szCs w:val="28"/>
          <w:lang w:val="vi-VN" w:eastAsia="vi-VN"/>
        </w:rPr>
        <w:t>Các quy</w:t>
      </w:r>
      <w:r w:rsidRPr="00C411F0">
        <w:rPr>
          <w:i/>
          <w:iCs/>
          <w:color w:val="000000" w:themeColor="text1"/>
          <w:spacing w:val="-2"/>
          <w:sz w:val="28"/>
          <w:szCs w:val="28"/>
          <w:lang w:val="vi-VN" w:eastAsia="vi-VN"/>
        </w:rPr>
        <w:t xml:space="preserve"> định</w:t>
      </w:r>
      <w:r w:rsidRPr="009605FD">
        <w:rPr>
          <w:i/>
          <w:iCs/>
          <w:color w:val="000000" w:themeColor="text1"/>
          <w:spacing w:val="-2"/>
          <w:sz w:val="28"/>
          <w:szCs w:val="28"/>
          <w:lang w:val="vi-VN" w:eastAsia="vi-VN"/>
        </w:rPr>
        <w:t xml:space="preserve"> pháp luật về các ngành, lĩnh vực xanh hiện nay còn dàn trải và chưa đầy đủ, chưa có các định nghĩa/khái niệm, tiêu chuẩn/điều kiện về các danh mục, các ngành/lĩnh vực xanh để có thể áp dụng chung, thống nhất, dẫn tới việc thiếu cơ sở để các TCTD có căn cứ lựa chọn, thẩm định, đánh giá và giám sát thực hiện cấp tín dụng xanh.</w:t>
      </w:r>
      <w:r w:rsidRPr="00C411F0">
        <w:rPr>
          <w:i/>
          <w:iCs/>
          <w:color w:val="000000" w:themeColor="text1"/>
          <w:spacing w:val="-2"/>
          <w:sz w:val="28"/>
          <w:szCs w:val="28"/>
          <w:lang w:val="vi-VN" w:eastAsia="vi-VN"/>
        </w:rPr>
        <w:t>”</w:t>
      </w:r>
      <w:r w:rsidR="005167A8" w:rsidRPr="00C411F0">
        <w:rPr>
          <w:rStyle w:val="FootnoteReference"/>
          <w:bCs/>
          <w:color w:val="000000" w:themeColor="text1"/>
          <w:spacing w:val="-2"/>
          <w:sz w:val="28"/>
          <w:szCs w:val="28"/>
          <w:lang w:val="vi-VN"/>
        </w:rPr>
        <w:footnoteReference w:id="5"/>
      </w:r>
      <w:r w:rsidR="005167A8" w:rsidRPr="00C411F0">
        <w:rPr>
          <w:bCs/>
          <w:color w:val="000000" w:themeColor="text1"/>
          <w:spacing w:val="-2"/>
          <w:sz w:val="28"/>
          <w:szCs w:val="28"/>
          <w:lang w:val="vi-VN"/>
        </w:rPr>
        <w:t xml:space="preserve"> </w:t>
      </w:r>
      <w:r w:rsidRPr="009605FD">
        <w:rPr>
          <w:color w:val="000000" w:themeColor="text1"/>
          <w:spacing w:val="-2"/>
          <w:sz w:val="28"/>
          <w:szCs w:val="28"/>
          <w:lang w:val="vi-VN" w:eastAsia="vi-VN"/>
        </w:rPr>
        <w:t>Các</w:t>
      </w:r>
      <w:r w:rsidRPr="00C411F0">
        <w:rPr>
          <w:color w:val="000000" w:themeColor="text1"/>
          <w:spacing w:val="-2"/>
          <w:sz w:val="28"/>
          <w:szCs w:val="28"/>
          <w:lang w:val="vi-VN" w:eastAsia="vi-VN"/>
        </w:rPr>
        <w:t xml:space="preserve"> văn bản hướng dẫn </w:t>
      </w:r>
      <w:r w:rsidRPr="009605FD">
        <w:rPr>
          <w:color w:val="000000" w:themeColor="text1"/>
          <w:spacing w:val="-2"/>
          <w:sz w:val="28"/>
          <w:szCs w:val="28"/>
          <w:lang w:val="vi-VN" w:eastAsia="vi-VN"/>
        </w:rPr>
        <w:t xml:space="preserve">về </w:t>
      </w:r>
      <w:r w:rsidR="00945E76" w:rsidRPr="009605FD">
        <w:rPr>
          <w:color w:val="000000" w:themeColor="text1"/>
          <w:spacing w:val="-2"/>
          <w:sz w:val="28"/>
          <w:szCs w:val="28"/>
          <w:lang w:val="vi-VN" w:eastAsia="vi-VN"/>
        </w:rPr>
        <w:t>phân</w:t>
      </w:r>
      <w:r w:rsidR="00945E76" w:rsidRPr="00C411F0">
        <w:rPr>
          <w:color w:val="000000" w:themeColor="text1"/>
          <w:spacing w:val="-2"/>
          <w:sz w:val="28"/>
          <w:szCs w:val="28"/>
          <w:lang w:val="vi-VN" w:eastAsia="vi-VN"/>
        </w:rPr>
        <w:t xml:space="preserve"> loại dự án xanh (như đã nêu trên) </w:t>
      </w:r>
      <w:r w:rsidRPr="009605FD">
        <w:rPr>
          <w:color w:val="000000" w:themeColor="text1"/>
          <w:spacing w:val="-2"/>
          <w:sz w:val="28"/>
          <w:szCs w:val="28"/>
          <w:lang w:val="vi-VN" w:eastAsia="vi-VN"/>
        </w:rPr>
        <w:t xml:space="preserve">về cơ bản mới chỉ mang tính chất định hướng, </w:t>
      </w:r>
      <w:r w:rsidR="00945E76" w:rsidRPr="009605FD">
        <w:rPr>
          <w:color w:val="000000" w:themeColor="text1"/>
          <w:spacing w:val="-2"/>
          <w:sz w:val="28"/>
          <w:szCs w:val="28"/>
          <w:lang w:val="vi-VN" w:eastAsia="vi-VN"/>
        </w:rPr>
        <w:t>tham</w:t>
      </w:r>
      <w:r w:rsidR="00945E76" w:rsidRPr="00C411F0">
        <w:rPr>
          <w:color w:val="000000" w:themeColor="text1"/>
          <w:spacing w:val="-2"/>
          <w:sz w:val="28"/>
          <w:szCs w:val="28"/>
          <w:lang w:val="vi-VN" w:eastAsia="vi-VN"/>
        </w:rPr>
        <w:t xml:space="preserve"> khảo, </w:t>
      </w:r>
      <w:r w:rsidRPr="009605FD">
        <w:rPr>
          <w:color w:val="000000" w:themeColor="text1"/>
          <w:spacing w:val="-2"/>
          <w:sz w:val="28"/>
          <w:szCs w:val="28"/>
          <w:lang w:val="vi-VN" w:eastAsia="vi-VN"/>
        </w:rPr>
        <w:t>khuyến khích các TCTD thực hiện mà chưa mang tính bắt buộc</w:t>
      </w:r>
      <w:r w:rsidRPr="00C411F0">
        <w:rPr>
          <w:color w:val="000000" w:themeColor="text1"/>
          <w:spacing w:val="-2"/>
          <w:sz w:val="28"/>
          <w:szCs w:val="28"/>
          <w:lang w:val="vi-VN" w:eastAsia="vi-VN"/>
        </w:rPr>
        <w:t xml:space="preserve">, </w:t>
      </w:r>
      <w:r w:rsidR="005167A8" w:rsidRPr="00C411F0">
        <w:rPr>
          <w:color w:val="000000" w:themeColor="text1"/>
          <w:spacing w:val="-2"/>
          <w:sz w:val="28"/>
          <w:szCs w:val="28"/>
          <w:lang w:val="vi-VN" w:eastAsia="vi-VN"/>
        </w:rPr>
        <w:t xml:space="preserve">cũng </w:t>
      </w:r>
      <w:r w:rsidRPr="00C411F0">
        <w:rPr>
          <w:color w:val="000000" w:themeColor="text1"/>
          <w:spacing w:val="-2"/>
          <w:sz w:val="28"/>
          <w:szCs w:val="28"/>
          <w:lang w:val="pt-PT"/>
        </w:rPr>
        <w:t>dẫn đến việc triển khai khác nhau giữa các ngân hàng</w:t>
      </w:r>
      <w:r w:rsidRPr="00C411F0">
        <w:rPr>
          <w:color w:val="000000" w:themeColor="text1"/>
          <w:spacing w:val="-2"/>
          <w:sz w:val="28"/>
          <w:szCs w:val="28"/>
          <w:lang w:val="vi-VN"/>
        </w:rPr>
        <w:t>.</w:t>
      </w:r>
    </w:p>
    <w:p w14:paraId="550A0C38" w14:textId="7BDA693A" w:rsidR="0043100D" w:rsidRPr="00C411F0" w:rsidRDefault="00E8659C"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Đối </w:t>
      </w:r>
      <w:r w:rsidR="0043100D" w:rsidRPr="00C411F0">
        <w:rPr>
          <w:bCs/>
          <w:color w:val="000000" w:themeColor="text1"/>
          <w:sz w:val="28"/>
          <w:szCs w:val="28"/>
          <w:lang w:val="vi-VN"/>
        </w:rPr>
        <w:t>với hoạt động cấp tín dụng xanh, các dự án được cấp vốn cụ thể về cơ bản vẫn phụ thuộc vào quyết định của các TCTD; trong điều kiện năng lực thẩm định “yếu tố xanh” của các TCTD còn hạn chế và thiếu những quy định cụ thể, rõ ràng, đầy đủ thì sẽ có nguy cơ xảy ra trường hợp cấp tín dụng xanh cho dự án chưa thực sự xanh, còn tiềm ẩn những yếu tố gây hại cho môi trường.</w:t>
      </w:r>
    </w:p>
    <w:p w14:paraId="2D59C1A2" w14:textId="08060C61" w:rsidR="00B90D07" w:rsidRPr="00C411F0" w:rsidRDefault="00671D22"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color w:val="000000" w:themeColor="text1"/>
          <w:sz w:val="28"/>
          <w:szCs w:val="28"/>
          <w:lang w:val="vi-VN" w:eastAsia="vi-VN"/>
        </w:rPr>
        <w:t>Ngoài ra, c</w:t>
      </w:r>
      <w:r w:rsidR="00B90D07" w:rsidRPr="00C411F0">
        <w:rPr>
          <w:color w:val="000000" w:themeColor="text1"/>
          <w:sz w:val="28"/>
          <w:szCs w:val="28"/>
          <w:lang w:val="vi-VN" w:eastAsia="vi-VN"/>
        </w:rPr>
        <w:t xml:space="preserve">ác hướng dẫn về danh mục dự án xanh hiện hành cũng chưa gắn </w:t>
      </w:r>
      <w:r w:rsidR="00B90D07" w:rsidRPr="00C411F0">
        <w:rPr>
          <w:color w:val="000000" w:themeColor="text1"/>
          <w:sz w:val="28"/>
          <w:szCs w:val="28"/>
          <w:lang w:val="vi-VN" w:eastAsia="vi-VN"/>
        </w:rPr>
        <w:lastRenderedPageBreak/>
        <w:t>kết với các ngành kinh tế được phân ngành theo Quyết định số 27/2018/QĐ-TTg, dẫn đến những khó khăn cho các TCTD trong việc thống kê, quản lý số liệu</w:t>
      </w:r>
      <w:r w:rsidR="00B90D07" w:rsidRPr="00C411F0">
        <w:rPr>
          <w:rStyle w:val="FootnoteReference"/>
          <w:color w:val="000000" w:themeColor="text1"/>
          <w:sz w:val="28"/>
          <w:szCs w:val="28"/>
          <w:lang w:val="vi-VN" w:eastAsia="vi-VN"/>
        </w:rPr>
        <w:footnoteReference w:id="6"/>
      </w:r>
      <w:r w:rsidR="00B90D07" w:rsidRPr="00C411F0">
        <w:rPr>
          <w:color w:val="000000" w:themeColor="text1"/>
          <w:sz w:val="28"/>
          <w:szCs w:val="28"/>
          <w:lang w:val="vi-VN" w:eastAsia="vi-VN"/>
        </w:rPr>
        <w:t>.</w:t>
      </w:r>
    </w:p>
    <w:p w14:paraId="5DD3C59D" w14:textId="46F7123B" w:rsidR="00435D8D" w:rsidRPr="00C411F0" w:rsidRDefault="00671D22"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color w:val="000000" w:themeColor="text1"/>
          <w:sz w:val="28"/>
          <w:szCs w:val="28"/>
          <w:lang w:val="vi-VN" w:eastAsia="vi-VN"/>
        </w:rPr>
        <w:t>Không chỉ gây lúng túng, khó khăn cho các TCTD và các liên quan tham gia thị trường tài chính xanh như đã nêu trên</w:t>
      </w:r>
      <w:r w:rsidR="00FC5CC5" w:rsidRPr="00C411F0">
        <w:rPr>
          <w:color w:val="000000" w:themeColor="text1"/>
          <w:sz w:val="28"/>
          <w:szCs w:val="28"/>
          <w:lang w:val="vi-VN" w:eastAsia="vi-VN"/>
        </w:rPr>
        <w:t>, v</w:t>
      </w:r>
      <w:r w:rsidR="00FC5CC5" w:rsidRPr="009605FD">
        <w:rPr>
          <w:color w:val="000000" w:themeColor="text1"/>
          <w:sz w:val="28"/>
          <w:szCs w:val="28"/>
          <w:lang w:val="vi-VN" w:eastAsia="vi-VN"/>
        </w:rPr>
        <w:t>iệc</w:t>
      </w:r>
      <w:r w:rsidR="00FC5CC5" w:rsidRPr="00C411F0">
        <w:rPr>
          <w:color w:val="000000" w:themeColor="text1"/>
          <w:sz w:val="28"/>
          <w:szCs w:val="28"/>
          <w:lang w:val="vi-VN" w:eastAsia="vi-VN"/>
        </w:rPr>
        <w:t xml:space="preserve"> thiếu tính pháp lý, không đồng bộ trong </w:t>
      </w:r>
      <w:r w:rsidRPr="00C411F0">
        <w:rPr>
          <w:color w:val="000000" w:themeColor="text1"/>
          <w:sz w:val="28"/>
          <w:szCs w:val="28"/>
          <w:lang w:val="vi-VN" w:eastAsia="vi-VN"/>
        </w:rPr>
        <w:t xml:space="preserve">các cách </w:t>
      </w:r>
      <w:r w:rsidR="00FC5CC5" w:rsidRPr="00C411F0">
        <w:rPr>
          <w:color w:val="000000" w:themeColor="text1"/>
          <w:sz w:val="28"/>
          <w:szCs w:val="28"/>
          <w:lang w:val="vi-VN" w:eastAsia="vi-VN"/>
        </w:rPr>
        <w:t xml:space="preserve">phân loại dự án xanh cũng dẫn đến khó khăn cho các cơ quan quản lý trong việc </w:t>
      </w:r>
      <w:r w:rsidRPr="00C411F0">
        <w:rPr>
          <w:color w:val="000000" w:themeColor="text1"/>
          <w:sz w:val="28"/>
          <w:szCs w:val="28"/>
          <w:lang w:val="vi-VN" w:eastAsia="vi-VN"/>
        </w:rPr>
        <w:t xml:space="preserve">tổng hợp số liệu thống kê, </w:t>
      </w:r>
      <w:r w:rsidR="00FC5CC5" w:rsidRPr="00C411F0">
        <w:rPr>
          <w:color w:val="000000" w:themeColor="text1"/>
          <w:sz w:val="28"/>
          <w:szCs w:val="28"/>
          <w:lang w:val="vi-VN" w:eastAsia="vi-VN"/>
        </w:rPr>
        <w:t>nắm được chính xác tình hình triển khai tài chính xanh, theo dõi</w:t>
      </w:r>
      <w:r w:rsidR="00970583" w:rsidRPr="00C411F0">
        <w:rPr>
          <w:color w:val="000000" w:themeColor="text1"/>
          <w:sz w:val="28"/>
          <w:szCs w:val="28"/>
          <w:lang w:val="vi-VN" w:eastAsia="vi-VN"/>
        </w:rPr>
        <w:t>, báo cáo</w:t>
      </w:r>
      <w:r w:rsidR="00FC5CC5" w:rsidRPr="00C411F0">
        <w:rPr>
          <w:color w:val="000000" w:themeColor="text1"/>
          <w:sz w:val="28"/>
          <w:szCs w:val="28"/>
          <w:lang w:val="vi-VN" w:eastAsia="vi-VN"/>
        </w:rPr>
        <w:t xml:space="preserve"> </w:t>
      </w:r>
      <w:r w:rsidR="00970583" w:rsidRPr="00C411F0">
        <w:rPr>
          <w:color w:val="000000" w:themeColor="text1"/>
          <w:sz w:val="28"/>
          <w:szCs w:val="28"/>
          <w:lang w:val="vi-VN" w:eastAsia="vi-VN"/>
        </w:rPr>
        <w:t xml:space="preserve">nguồn </w:t>
      </w:r>
      <w:r w:rsidR="00FC5CC5" w:rsidRPr="00C411F0">
        <w:rPr>
          <w:color w:val="000000" w:themeColor="text1"/>
          <w:sz w:val="28"/>
          <w:szCs w:val="28"/>
          <w:lang w:val="vi-VN" w:eastAsia="vi-VN"/>
        </w:rPr>
        <w:t xml:space="preserve">tiền đầu tư cho các dự án xanh để </w:t>
      </w:r>
      <w:r w:rsidRPr="00C411F0">
        <w:rPr>
          <w:color w:val="000000" w:themeColor="text1"/>
          <w:sz w:val="28"/>
          <w:szCs w:val="28"/>
          <w:lang w:val="vi-VN" w:eastAsia="vi-VN"/>
        </w:rPr>
        <w:t xml:space="preserve">kịp thời đưa </w:t>
      </w:r>
      <w:r w:rsidR="00FC5CC5" w:rsidRPr="00C411F0">
        <w:rPr>
          <w:color w:val="000000" w:themeColor="text1"/>
          <w:sz w:val="28"/>
          <w:szCs w:val="28"/>
          <w:lang w:val="vi-VN" w:eastAsia="vi-VN"/>
        </w:rPr>
        <w:t>ra các chính sách quản lý đầu tư phù hợp, đặc biệt khi các hoạt động này ngày càng được triển khai rộng rãi</w:t>
      </w:r>
      <w:r w:rsidR="00970583" w:rsidRPr="00C411F0">
        <w:rPr>
          <w:color w:val="000000" w:themeColor="text1"/>
          <w:sz w:val="28"/>
          <w:szCs w:val="28"/>
          <w:lang w:val="vi-VN" w:eastAsia="vi-VN"/>
        </w:rPr>
        <w:t xml:space="preserve"> và nhu cầu nguồn vốn đầu tư cho các mục tiêu, chiến lược BVMT, tăng trưởng xanh, phát triển bền vững ngày càng tăng</w:t>
      </w:r>
      <w:r w:rsidR="00FC5CC5" w:rsidRPr="00C411F0">
        <w:rPr>
          <w:color w:val="000000" w:themeColor="text1"/>
          <w:sz w:val="28"/>
          <w:szCs w:val="28"/>
          <w:lang w:val="vi-VN" w:eastAsia="vi-VN"/>
        </w:rPr>
        <w:t xml:space="preserve">. </w:t>
      </w:r>
    </w:p>
    <w:p w14:paraId="34A305E5" w14:textId="3BEB49D6" w:rsidR="00970583" w:rsidRPr="00C411F0" w:rsidRDefault="00435D8D" w:rsidP="00E8659C">
      <w:pPr>
        <w:pStyle w:val="NormalWeb"/>
        <w:widowControl w:val="0"/>
        <w:shd w:val="clear" w:color="auto" w:fill="FFFFFF"/>
        <w:spacing w:before="120" w:beforeAutospacing="0" w:after="0" w:afterAutospacing="0" w:line="340" w:lineRule="exact"/>
        <w:ind w:firstLine="720"/>
        <w:rPr>
          <w:bCs/>
          <w:i/>
          <w:iCs/>
          <w:color w:val="000000" w:themeColor="text1"/>
          <w:sz w:val="28"/>
          <w:szCs w:val="28"/>
          <w:lang w:val="vi-VN"/>
        </w:rPr>
      </w:pPr>
      <w:r w:rsidRPr="00C411F0">
        <w:rPr>
          <w:bCs/>
          <w:color w:val="000000" w:themeColor="text1"/>
          <w:sz w:val="28"/>
          <w:szCs w:val="28"/>
          <w:lang w:val="vi-VN"/>
        </w:rPr>
        <w:t xml:space="preserve">- </w:t>
      </w:r>
      <w:r w:rsidRPr="00C411F0">
        <w:rPr>
          <w:bCs/>
          <w:i/>
          <w:iCs/>
          <w:color w:val="000000" w:themeColor="text1"/>
          <w:sz w:val="28"/>
          <w:szCs w:val="28"/>
          <w:lang w:val="vi-VN"/>
        </w:rPr>
        <w:t xml:space="preserve">Hạn chế khả năng tối ưu hoá hiệu quả của các chính sách tín dụng xanh, trái phiếu xanh… mang lại đối với </w:t>
      </w:r>
      <w:r w:rsidR="001A4EF2" w:rsidRPr="00C411F0">
        <w:rPr>
          <w:bCs/>
          <w:i/>
          <w:iCs/>
          <w:color w:val="000000" w:themeColor="text1"/>
          <w:sz w:val="28"/>
          <w:szCs w:val="28"/>
          <w:lang w:val="vi-VN"/>
        </w:rPr>
        <w:t>việc thực hiện các mục tiêu môi trường, phát triển bền vững</w:t>
      </w:r>
      <w:r w:rsidR="00970583" w:rsidRPr="00C411F0">
        <w:rPr>
          <w:bCs/>
          <w:i/>
          <w:iCs/>
          <w:color w:val="000000" w:themeColor="text1"/>
          <w:sz w:val="28"/>
          <w:szCs w:val="28"/>
          <w:lang w:val="vi-VN"/>
        </w:rPr>
        <w:t>:</w:t>
      </w:r>
    </w:p>
    <w:p w14:paraId="4DB6BE48" w14:textId="3FBED2D4" w:rsidR="00066D35" w:rsidRPr="00C411F0" w:rsidRDefault="00066D35"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Việc không có các tiêu chí môi trường, hoặc các tiêu chí môi trường không rõ ràng trong các hướng dẫn phân loại dự án xanh, sẽ dẫn đến </w:t>
      </w:r>
      <w:r w:rsidR="001A4EF2" w:rsidRPr="00C411F0">
        <w:rPr>
          <w:bCs/>
          <w:color w:val="000000" w:themeColor="text1"/>
          <w:sz w:val="28"/>
          <w:szCs w:val="28"/>
          <w:lang w:val="vi-VN"/>
        </w:rPr>
        <w:t xml:space="preserve">hệ quả là </w:t>
      </w:r>
      <w:r w:rsidRPr="00C411F0">
        <w:rPr>
          <w:bCs/>
          <w:color w:val="000000" w:themeColor="text1"/>
          <w:sz w:val="28"/>
          <w:szCs w:val="28"/>
          <w:lang w:val="vi-VN"/>
        </w:rPr>
        <w:t xml:space="preserve">mặc dù các hoạt động tài tín dụng xanh, trái phiếu xanh được </w:t>
      </w:r>
      <w:r w:rsidR="001A4EF2" w:rsidRPr="00C411F0">
        <w:rPr>
          <w:bCs/>
          <w:color w:val="000000" w:themeColor="text1"/>
          <w:sz w:val="28"/>
          <w:szCs w:val="28"/>
          <w:lang w:val="vi-VN"/>
        </w:rPr>
        <w:t>phát triển mạnh mẽ</w:t>
      </w:r>
      <w:r w:rsidRPr="00C411F0">
        <w:rPr>
          <w:bCs/>
          <w:color w:val="000000" w:themeColor="text1"/>
          <w:sz w:val="28"/>
          <w:szCs w:val="28"/>
          <w:lang w:val="vi-VN"/>
        </w:rPr>
        <w:t>, nhưng không thực sự gắn kết hoặc gắn kết lỏng lẻo với</w:t>
      </w:r>
      <w:r w:rsidR="00853F5F" w:rsidRPr="00C411F0">
        <w:rPr>
          <w:bCs/>
          <w:color w:val="000000" w:themeColor="text1"/>
          <w:sz w:val="28"/>
          <w:szCs w:val="28"/>
          <w:lang w:val="vi-VN"/>
        </w:rPr>
        <w:t xml:space="preserve"> </w:t>
      </w:r>
      <w:r w:rsidRPr="00C411F0">
        <w:rPr>
          <w:bCs/>
          <w:color w:val="000000" w:themeColor="text1"/>
          <w:sz w:val="28"/>
          <w:szCs w:val="28"/>
          <w:lang w:val="vi-VN"/>
        </w:rPr>
        <w:t>các mục tiêu bảo vệ môi trường</w:t>
      </w:r>
      <w:r w:rsidR="001A4EF2" w:rsidRPr="00C411F0">
        <w:rPr>
          <w:bCs/>
          <w:color w:val="000000" w:themeColor="text1"/>
          <w:sz w:val="28"/>
          <w:szCs w:val="28"/>
          <w:lang w:val="vi-VN"/>
        </w:rPr>
        <w:t>, phát triển bền vững</w:t>
      </w:r>
      <w:r w:rsidRPr="00C411F0">
        <w:rPr>
          <w:bCs/>
          <w:color w:val="000000" w:themeColor="text1"/>
          <w:sz w:val="28"/>
          <w:szCs w:val="28"/>
          <w:lang w:val="vi-VN"/>
        </w:rPr>
        <w:t xml:space="preserve"> trong từng giai đoạn phát triển cụ thể</w:t>
      </w:r>
      <w:r w:rsidR="00017F4D" w:rsidRPr="00C411F0">
        <w:rPr>
          <w:bCs/>
          <w:color w:val="000000" w:themeColor="text1"/>
          <w:sz w:val="28"/>
          <w:szCs w:val="28"/>
          <w:lang w:val="vi-VN"/>
        </w:rPr>
        <w:t xml:space="preserve"> của đất nước</w:t>
      </w:r>
      <w:r w:rsidRPr="00C411F0">
        <w:rPr>
          <w:bCs/>
          <w:color w:val="000000" w:themeColor="text1"/>
          <w:sz w:val="28"/>
          <w:szCs w:val="28"/>
          <w:lang w:val="vi-VN"/>
        </w:rPr>
        <w:t xml:space="preserve">. </w:t>
      </w:r>
      <w:r w:rsidR="00853F5F" w:rsidRPr="00C411F0">
        <w:rPr>
          <w:bCs/>
          <w:color w:val="000000" w:themeColor="text1"/>
          <w:sz w:val="28"/>
          <w:szCs w:val="28"/>
          <w:lang w:val="vi-VN"/>
        </w:rPr>
        <w:t>Khi này, việc quản lý, giám sát, thực hiện các mục tiêu môi trường</w:t>
      </w:r>
      <w:r w:rsidR="001A4EF2" w:rsidRPr="00C411F0">
        <w:rPr>
          <w:bCs/>
          <w:color w:val="000000" w:themeColor="text1"/>
          <w:sz w:val="28"/>
          <w:szCs w:val="28"/>
          <w:lang w:val="vi-VN"/>
        </w:rPr>
        <w:t>, phát triển bền vững</w:t>
      </w:r>
      <w:r w:rsidR="00853F5F" w:rsidRPr="00C411F0">
        <w:rPr>
          <w:bCs/>
          <w:color w:val="000000" w:themeColor="text1"/>
          <w:sz w:val="28"/>
          <w:szCs w:val="28"/>
          <w:lang w:val="vi-VN"/>
        </w:rPr>
        <w:t xml:space="preserve"> </w:t>
      </w:r>
      <w:r w:rsidR="001A4EF2" w:rsidRPr="00C411F0">
        <w:rPr>
          <w:bCs/>
          <w:color w:val="000000" w:themeColor="text1"/>
          <w:sz w:val="28"/>
          <w:szCs w:val="28"/>
          <w:lang w:val="vi-VN"/>
        </w:rPr>
        <w:t xml:space="preserve">với các công cụ </w:t>
      </w:r>
      <w:r w:rsidR="00853F5F" w:rsidRPr="00C411F0">
        <w:rPr>
          <w:bCs/>
          <w:color w:val="000000" w:themeColor="text1"/>
          <w:sz w:val="28"/>
          <w:szCs w:val="28"/>
          <w:lang w:val="vi-VN"/>
        </w:rPr>
        <w:t>tín dụng xanh, trái phiếu xanh sẽ khó khăn và như vậy, trên thực tế việc đạt được các mục tiêu môi trường có nguy cơ bị chậm lại mặc dù trên lý thuyết vẫn có rất nhiều công cụ, nguồn lực</w:t>
      </w:r>
      <w:r w:rsidR="00C65FE4" w:rsidRPr="00C411F0">
        <w:rPr>
          <w:bCs/>
          <w:color w:val="000000" w:themeColor="text1"/>
          <w:sz w:val="28"/>
          <w:szCs w:val="28"/>
          <w:lang w:val="vi-VN"/>
        </w:rPr>
        <w:t xml:space="preserve"> </w:t>
      </w:r>
      <w:r w:rsidR="001A4EF2" w:rsidRPr="00C411F0">
        <w:rPr>
          <w:bCs/>
          <w:color w:val="000000" w:themeColor="text1"/>
          <w:sz w:val="28"/>
          <w:szCs w:val="28"/>
          <w:lang w:val="vi-VN"/>
        </w:rPr>
        <w:t xml:space="preserve">như </w:t>
      </w:r>
      <w:r w:rsidR="00C65FE4" w:rsidRPr="00C411F0">
        <w:rPr>
          <w:bCs/>
          <w:color w:val="000000" w:themeColor="text1"/>
          <w:sz w:val="28"/>
          <w:szCs w:val="28"/>
          <w:lang w:val="vi-VN"/>
        </w:rPr>
        <w:t>tín dụng xanh, trái phiếu xanh</w:t>
      </w:r>
      <w:r w:rsidR="00853F5F" w:rsidRPr="00C411F0">
        <w:rPr>
          <w:bCs/>
          <w:color w:val="000000" w:themeColor="text1"/>
          <w:sz w:val="28"/>
          <w:szCs w:val="28"/>
          <w:lang w:val="vi-VN"/>
        </w:rPr>
        <w:t xml:space="preserve"> đang được triển khai, thúc đẩy </w:t>
      </w:r>
      <w:r w:rsidR="00C65FE4" w:rsidRPr="00C411F0">
        <w:rPr>
          <w:bCs/>
          <w:color w:val="000000" w:themeColor="text1"/>
          <w:sz w:val="28"/>
          <w:szCs w:val="28"/>
          <w:lang w:val="vi-VN"/>
        </w:rPr>
        <w:t xml:space="preserve">nhằm </w:t>
      </w:r>
      <w:r w:rsidR="00853F5F" w:rsidRPr="00C411F0">
        <w:rPr>
          <w:bCs/>
          <w:color w:val="000000" w:themeColor="text1"/>
          <w:sz w:val="28"/>
          <w:szCs w:val="28"/>
          <w:lang w:val="vi-VN"/>
        </w:rPr>
        <w:t xml:space="preserve">đạt được các mục tiêu này. </w:t>
      </w:r>
    </w:p>
    <w:p w14:paraId="387414D8" w14:textId="3C46AF36" w:rsidR="00E10A56" w:rsidRPr="00C411F0" w:rsidRDefault="009731BC" w:rsidP="00E8659C">
      <w:pPr>
        <w:pStyle w:val="NormalWeb"/>
        <w:widowControl w:val="0"/>
        <w:shd w:val="clear" w:color="auto" w:fill="FFFFFF"/>
        <w:spacing w:before="120" w:beforeAutospacing="0" w:after="0" w:afterAutospacing="0" w:line="340" w:lineRule="exact"/>
        <w:ind w:firstLine="720"/>
        <w:rPr>
          <w:color w:val="000000" w:themeColor="text1"/>
          <w:sz w:val="28"/>
          <w:szCs w:val="28"/>
          <w:lang w:val="vi-VN" w:eastAsia="vi-VN"/>
        </w:rPr>
      </w:pPr>
      <w:r w:rsidRPr="00C411F0">
        <w:rPr>
          <w:color w:val="000000" w:themeColor="text1"/>
          <w:sz w:val="28"/>
          <w:szCs w:val="28"/>
          <w:lang w:val="vi-VN" w:eastAsia="vi-VN"/>
        </w:rPr>
        <w:t xml:space="preserve">Theo Báo cáo về công tác BVMT năm 2017 của Chính phủ, để triển khai các hoạt động BVMT, các bộ, ngành cần 853 tỷ đồng, nhưng do điều kiện ngân sách có hạn nên chỉ phân bổ khoảng 469 tỷ đồng (mới đáp ứng được 55% nhu cầu). Theo Báo cáo về công tác BVMT năm 2020 của Chính phủ, nguồn vốn đầu tư cho BVMT vẫn chưa đáp ứng được nhu cầu, không đủ kinh phí để triển khai một số dự án có vốn đầu tư lớn về hạ tầng kỹ thuật xử lý chất thải rắn; xử lý ô nhiễm, phục hồi môi trường tại các lưu vực sông, khu vực bị ô nhiễm môi trường nghiêm trọng. Ước tính </w:t>
      </w:r>
      <w:r w:rsidRPr="00C411F0">
        <w:rPr>
          <w:bCs/>
          <w:color w:val="000000" w:themeColor="text1"/>
          <w:sz w:val="28"/>
          <w:szCs w:val="28"/>
          <w:lang w:val="vi-VN"/>
        </w:rPr>
        <w:t>nhu cầu vốn để thực hiện các mục tiêu phát triển xanh và phát triển bền vững từ nay đến năm 2030 của Việt Nam vào khoảng 360 tỷ USD, trong đó nguồn vốn từ khu vực tư nhân chiếm 50%</w:t>
      </w:r>
      <w:r w:rsidRPr="00C411F0">
        <w:rPr>
          <w:rStyle w:val="FootnoteReference"/>
          <w:bCs/>
          <w:color w:val="000000" w:themeColor="text1"/>
          <w:sz w:val="28"/>
          <w:szCs w:val="28"/>
          <w:lang w:val="vi-VN"/>
        </w:rPr>
        <w:footnoteReference w:id="7"/>
      </w:r>
      <w:r w:rsidRPr="00C411F0">
        <w:rPr>
          <w:bCs/>
          <w:color w:val="000000" w:themeColor="text1"/>
          <w:sz w:val="28"/>
          <w:szCs w:val="28"/>
          <w:lang w:val="vi-VN"/>
        </w:rPr>
        <w:t xml:space="preserve">. </w:t>
      </w:r>
      <w:r w:rsidR="00E10A56" w:rsidRPr="00C411F0">
        <w:rPr>
          <w:bCs/>
          <w:color w:val="000000" w:themeColor="text1"/>
          <w:sz w:val="28"/>
          <w:szCs w:val="28"/>
          <w:lang w:val="vi-VN"/>
        </w:rPr>
        <w:t xml:space="preserve">Như vậy, có thể thấy nhu cầu huy động vốn, đặc biệt dòng vốn tài chính xanh, để thực hiện các mục tiêu môi </w:t>
      </w:r>
      <w:r w:rsidR="00E10A56" w:rsidRPr="00C411F0">
        <w:rPr>
          <w:color w:val="000000" w:themeColor="text1"/>
          <w:sz w:val="28"/>
          <w:szCs w:val="28"/>
          <w:lang w:val="vi-VN" w:eastAsia="vi-VN"/>
        </w:rPr>
        <w:t>trường, hỗ trợ quá trình chuyển đổi của Việt Nam sang nền kinh tế xanh, hướng đến nền kinh tế các-bon thấp, bảo vệ môi trường và phát triển bền vững là rất cao.</w:t>
      </w:r>
    </w:p>
    <w:p w14:paraId="631CF0F1" w14:textId="5C0B8008" w:rsidR="00512A02" w:rsidRPr="00C411F0" w:rsidRDefault="00E018B8" w:rsidP="00E8659C">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color w:val="000000" w:themeColor="text1"/>
          <w:sz w:val="28"/>
          <w:szCs w:val="28"/>
          <w:lang w:val="vi-VN" w:eastAsia="vi-VN"/>
        </w:rPr>
        <w:lastRenderedPageBreak/>
        <w:t>Tuy nhiên, một thực tế là</w:t>
      </w:r>
      <w:r w:rsidR="00E10A56" w:rsidRPr="00C411F0">
        <w:rPr>
          <w:color w:val="000000" w:themeColor="text1"/>
          <w:sz w:val="28"/>
          <w:szCs w:val="28"/>
          <w:lang w:val="vi-VN" w:eastAsia="vi-VN"/>
        </w:rPr>
        <w:t xml:space="preserve"> hầu hết c</w:t>
      </w:r>
      <w:r w:rsidR="00435D8D" w:rsidRPr="00C411F0">
        <w:rPr>
          <w:bCs/>
          <w:color w:val="000000" w:themeColor="text1"/>
          <w:sz w:val="28"/>
          <w:szCs w:val="28"/>
          <w:lang w:val="vi-VN"/>
        </w:rPr>
        <w:t xml:space="preserve">ác dự án được cấp tín dụng xanh hoặc sử dụng nguồn vốn trái phiếu xanh </w:t>
      </w:r>
      <w:r w:rsidR="00E8659C" w:rsidRPr="00C411F0">
        <w:rPr>
          <w:bCs/>
          <w:color w:val="000000" w:themeColor="text1"/>
          <w:sz w:val="28"/>
          <w:szCs w:val="28"/>
          <w:lang w:val="vi-VN"/>
        </w:rPr>
        <w:t xml:space="preserve">ở nước ta </w:t>
      </w:r>
      <w:r w:rsidR="00E10A56" w:rsidRPr="00C411F0">
        <w:rPr>
          <w:bCs/>
          <w:color w:val="000000" w:themeColor="text1"/>
          <w:sz w:val="28"/>
          <w:szCs w:val="28"/>
          <w:lang w:val="vi-VN"/>
        </w:rPr>
        <w:t xml:space="preserve">trong thời gian qua </w:t>
      </w:r>
      <w:r w:rsidR="00435D8D" w:rsidRPr="00C411F0">
        <w:rPr>
          <w:bCs/>
          <w:color w:val="000000" w:themeColor="text1"/>
          <w:sz w:val="28"/>
          <w:szCs w:val="28"/>
          <w:lang w:val="vi-VN"/>
        </w:rPr>
        <w:t xml:space="preserve">tập trung </w:t>
      </w:r>
      <w:r w:rsidR="00E10A56" w:rsidRPr="00C411F0">
        <w:rPr>
          <w:bCs/>
          <w:color w:val="000000" w:themeColor="text1"/>
          <w:sz w:val="28"/>
          <w:szCs w:val="28"/>
          <w:lang w:val="vi-VN"/>
        </w:rPr>
        <w:t xml:space="preserve">chủ yếu </w:t>
      </w:r>
      <w:r w:rsidR="00435D8D" w:rsidRPr="00C411F0">
        <w:rPr>
          <w:bCs/>
          <w:color w:val="000000" w:themeColor="text1"/>
          <w:sz w:val="28"/>
          <w:szCs w:val="28"/>
          <w:lang w:val="vi-VN"/>
        </w:rPr>
        <w:t>vào các loại hình năng lượng</w:t>
      </w:r>
      <w:r w:rsidR="00E10A56" w:rsidRPr="00C411F0">
        <w:rPr>
          <w:bCs/>
          <w:color w:val="000000" w:themeColor="text1"/>
          <w:sz w:val="28"/>
          <w:szCs w:val="28"/>
          <w:lang w:val="vi-VN"/>
        </w:rPr>
        <w:t xml:space="preserve"> tái tạo, năng lượng sạch</w:t>
      </w:r>
      <w:r w:rsidR="00435D8D" w:rsidRPr="00C411F0">
        <w:rPr>
          <w:bCs/>
          <w:color w:val="000000" w:themeColor="text1"/>
          <w:sz w:val="28"/>
          <w:szCs w:val="28"/>
          <w:lang w:val="vi-VN"/>
        </w:rPr>
        <w:t xml:space="preserve">, lâm nghiệp, nông nghiệp sạch </w:t>
      </w:r>
      <w:r w:rsidR="00915F92" w:rsidRPr="00C411F0">
        <w:rPr>
          <w:bCs/>
          <w:color w:val="000000" w:themeColor="text1"/>
          <w:sz w:val="28"/>
          <w:szCs w:val="28"/>
          <w:lang w:val="vi-VN"/>
        </w:rPr>
        <w:t>(hình 2)</w:t>
      </w:r>
      <w:r w:rsidRPr="00C411F0">
        <w:rPr>
          <w:bCs/>
          <w:color w:val="000000" w:themeColor="text1"/>
          <w:sz w:val="28"/>
          <w:szCs w:val="28"/>
          <w:lang w:val="vi-VN"/>
        </w:rPr>
        <w:t xml:space="preserve">. </w:t>
      </w:r>
      <w:r w:rsidR="00BB1963" w:rsidRPr="00C411F0">
        <w:rPr>
          <w:bCs/>
          <w:color w:val="000000" w:themeColor="text1"/>
          <w:sz w:val="28"/>
          <w:szCs w:val="28"/>
          <w:lang w:val="vi-VN"/>
        </w:rPr>
        <w:t>Đ</w:t>
      </w:r>
      <w:r w:rsidRPr="00C411F0">
        <w:rPr>
          <w:bCs/>
          <w:color w:val="000000" w:themeColor="text1"/>
          <w:sz w:val="28"/>
          <w:szCs w:val="28"/>
          <w:lang w:val="vi-VN"/>
        </w:rPr>
        <w:t>ánh giá của CBI năm 202</w:t>
      </w:r>
      <w:r w:rsidR="00BB1963" w:rsidRPr="00C411F0">
        <w:rPr>
          <w:bCs/>
          <w:color w:val="000000" w:themeColor="text1"/>
          <w:sz w:val="28"/>
          <w:szCs w:val="28"/>
          <w:lang w:val="vi-VN"/>
        </w:rPr>
        <w:t>2 cũng cho thấy</w:t>
      </w:r>
      <w:r w:rsidRPr="00C411F0">
        <w:rPr>
          <w:bCs/>
          <w:color w:val="000000" w:themeColor="text1"/>
          <w:sz w:val="28"/>
          <w:szCs w:val="28"/>
          <w:lang w:val="vi-VN"/>
        </w:rPr>
        <w:t xml:space="preserve"> dư nợ tín dụng xanh của Việt Nam cơ bản tập trung cho các lĩnh vực năng lượng và giao thông (hình 3). </w:t>
      </w:r>
      <w:r w:rsidR="004746CF" w:rsidRPr="00C411F0">
        <w:rPr>
          <w:bCs/>
          <w:color w:val="000000" w:themeColor="text1"/>
          <w:sz w:val="28"/>
          <w:szCs w:val="28"/>
          <w:lang w:val="vi-VN"/>
        </w:rPr>
        <w:t>Sự phát triển thị trường</w:t>
      </w:r>
      <w:r w:rsidR="00512A02" w:rsidRPr="00C411F0">
        <w:rPr>
          <w:bCs/>
          <w:color w:val="000000" w:themeColor="text1"/>
          <w:sz w:val="28"/>
          <w:szCs w:val="28"/>
          <w:lang w:val="vi-VN"/>
        </w:rPr>
        <w:t xml:space="preserve"> tín dụng xanh, trái phiếu xanh </w:t>
      </w:r>
      <w:r w:rsidR="004746CF" w:rsidRPr="00C411F0">
        <w:rPr>
          <w:bCs/>
          <w:color w:val="000000" w:themeColor="text1"/>
          <w:sz w:val="28"/>
          <w:szCs w:val="28"/>
          <w:lang w:val="vi-VN"/>
        </w:rPr>
        <w:t xml:space="preserve">ở nước ta </w:t>
      </w:r>
      <w:r w:rsidR="00512A02" w:rsidRPr="00C411F0">
        <w:rPr>
          <w:bCs/>
          <w:color w:val="000000" w:themeColor="text1"/>
          <w:sz w:val="28"/>
          <w:szCs w:val="28"/>
          <w:lang w:val="vi-VN"/>
        </w:rPr>
        <w:t xml:space="preserve">hiện chưa phủ hết các loại hình dự án xanh có mục tiêu, lợi ích BVMT, phát triển bền vững như tinh thần Luật BVMT 2020 quy định (ví dụ các dự án về hạ tầng kỹ thuật xử lý chất thải, nhằm bảo vệ đa dạng sinh học, phục hồi môi trường bị ô nhiễm, thay đổi công nghệ theo hướng áp dụng kỹ thuật hiện có tốt nhất (BAT)…). </w:t>
      </w:r>
      <w:r w:rsidR="004746CF" w:rsidRPr="00C411F0">
        <w:rPr>
          <w:bCs/>
          <w:color w:val="000000" w:themeColor="text1"/>
          <w:sz w:val="28"/>
          <w:szCs w:val="28"/>
          <w:lang w:val="vi-VN"/>
        </w:rPr>
        <w:t>Do đó, để bảo đảm phân bổ một cách hiệu quả các nguồn lực đầu tư (đầu tư công, đầu tư tư) nhằm đảm bảo thực hiện được các mục tiêu môi trường, phát triển bền vững, cần có những quy định rõ ràng về tiêu chí môi trường trong phân loại dự án xanh, tạo sự thuận lợi trong việc phân loại</w:t>
      </w:r>
      <w:r w:rsidR="00C362F4" w:rsidRPr="00C411F0">
        <w:rPr>
          <w:bCs/>
          <w:color w:val="000000" w:themeColor="text1"/>
          <w:sz w:val="28"/>
          <w:szCs w:val="28"/>
          <w:lang w:val="vi-VN"/>
        </w:rPr>
        <w:t>, thống kê, quản lý dự án cũng như nguồn vốn đầu tư dự án.</w:t>
      </w:r>
      <w:r w:rsidR="004746CF" w:rsidRPr="00C411F0">
        <w:rPr>
          <w:bCs/>
          <w:color w:val="000000" w:themeColor="text1"/>
          <w:sz w:val="28"/>
          <w:szCs w:val="28"/>
          <w:lang w:val="vi-VN"/>
        </w:rPr>
        <w:t xml:space="preserve"> </w:t>
      </w:r>
    </w:p>
    <w:p w14:paraId="38CC9A9A" w14:textId="77777777" w:rsidR="00512A02" w:rsidRPr="00C411F0" w:rsidRDefault="00512A02" w:rsidP="00512A02">
      <w:pPr>
        <w:pStyle w:val="NormalWeb"/>
        <w:widowControl w:val="0"/>
        <w:shd w:val="clear" w:color="auto" w:fill="FFFFFF"/>
        <w:spacing w:before="120" w:beforeAutospacing="0" w:after="0" w:afterAutospacing="0"/>
        <w:rPr>
          <w:bCs/>
          <w:color w:val="000000" w:themeColor="text1"/>
          <w:sz w:val="28"/>
          <w:szCs w:val="28"/>
          <w:lang w:val="vi-VN"/>
        </w:rPr>
      </w:pPr>
      <w:r w:rsidRPr="00C411F0">
        <w:rPr>
          <w:bCs/>
          <w:noProof/>
          <w:color w:val="000000" w:themeColor="text1"/>
          <w:sz w:val="28"/>
          <w:szCs w:val="28"/>
        </w:rPr>
        <w:drawing>
          <wp:inline distT="0" distB="0" distL="0" distR="0" wp14:anchorId="72A4E46D" wp14:editId="3ADC1CD7">
            <wp:extent cx="5936615" cy="1834515"/>
            <wp:effectExtent l="12700" t="1270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6615" cy="1834515"/>
                    </a:xfrm>
                    <a:prstGeom prst="rect">
                      <a:avLst/>
                    </a:prstGeom>
                    <a:ln>
                      <a:solidFill>
                        <a:schemeClr val="accent1">
                          <a:alpha val="0"/>
                        </a:schemeClr>
                      </a:solidFill>
                    </a:ln>
                  </pic:spPr>
                </pic:pic>
              </a:graphicData>
            </a:graphic>
          </wp:inline>
        </w:drawing>
      </w:r>
    </w:p>
    <w:p w14:paraId="1C53D539" w14:textId="77777777" w:rsidR="00512A02" w:rsidRPr="00C411F0" w:rsidRDefault="00512A02" w:rsidP="00512A02">
      <w:pPr>
        <w:pStyle w:val="NormalWeb"/>
        <w:widowControl w:val="0"/>
        <w:shd w:val="clear" w:color="auto" w:fill="FFFFFF"/>
        <w:spacing w:before="120" w:beforeAutospacing="0" w:after="0" w:afterAutospacing="0"/>
        <w:jc w:val="center"/>
        <w:rPr>
          <w:bCs/>
          <w:color w:val="000000" w:themeColor="text1"/>
          <w:sz w:val="28"/>
          <w:szCs w:val="28"/>
          <w:lang w:val="vi-VN"/>
        </w:rPr>
      </w:pPr>
      <w:r w:rsidRPr="00C411F0">
        <w:rPr>
          <w:bCs/>
          <w:color w:val="000000" w:themeColor="text1"/>
          <w:sz w:val="28"/>
          <w:szCs w:val="28"/>
          <w:lang w:val="vi-VN"/>
        </w:rPr>
        <w:t>Hình 2. Cơ cấu dư nợ tín dụng xanh của Việt Nam trong các năm 2017-2021</w:t>
      </w:r>
    </w:p>
    <w:p w14:paraId="5727A5ED" w14:textId="77777777" w:rsidR="00512A02" w:rsidRPr="00C411F0" w:rsidRDefault="00512A02" w:rsidP="00512A02">
      <w:pPr>
        <w:pStyle w:val="NormalWeb"/>
        <w:widowControl w:val="0"/>
        <w:shd w:val="clear" w:color="auto" w:fill="FFFFFF"/>
        <w:spacing w:before="60" w:beforeAutospacing="0" w:after="0" w:afterAutospacing="0"/>
        <w:ind w:left="1440" w:firstLine="1111"/>
        <w:jc w:val="center"/>
        <w:rPr>
          <w:bCs/>
          <w:i/>
          <w:iCs/>
          <w:color w:val="000000" w:themeColor="text1"/>
          <w:sz w:val="26"/>
          <w:szCs w:val="26"/>
          <w:lang w:val="vi-VN"/>
        </w:rPr>
      </w:pPr>
      <w:r w:rsidRPr="00C411F0">
        <w:rPr>
          <w:bCs/>
          <w:i/>
          <w:iCs/>
          <w:color w:val="000000" w:themeColor="text1"/>
          <w:sz w:val="26"/>
          <w:szCs w:val="26"/>
          <w:lang w:val="vi-VN"/>
        </w:rPr>
        <w:t>(Nguồn: Ngân hàng Nhà nước, tháng 5/2022)</w:t>
      </w:r>
    </w:p>
    <w:p w14:paraId="2715541C" w14:textId="77777777" w:rsidR="00512A02" w:rsidRPr="00C411F0" w:rsidRDefault="00512A02" w:rsidP="00512A02">
      <w:pPr>
        <w:pStyle w:val="NormalWeb"/>
        <w:widowControl w:val="0"/>
        <w:shd w:val="clear" w:color="auto" w:fill="FFFFFF"/>
        <w:spacing w:before="120" w:beforeAutospacing="0" w:after="0" w:afterAutospacing="0"/>
        <w:jc w:val="center"/>
        <w:rPr>
          <w:bCs/>
          <w:color w:val="000000" w:themeColor="text1"/>
          <w:sz w:val="28"/>
          <w:szCs w:val="28"/>
          <w:lang w:val="vi-VN"/>
        </w:rPr>
      </w:pPr>
      <w:r w:rsidRPr="00C411F0">
        <w:rPr>
          <w:bCs/>
          <w:noProof/>
          <w:color w:val="000000" w:themeColor="text1"/>
          <w:sz w:val="28"/>
          <w:szCs w:val="28"/>
        </w:rPr>
        <w:drawing>
          <wp:inline distT="0" distB="0" distL="0" distR="0" wp14:anchorId="294B25AB" wp14:editId="42F0E87D">
            <wp:extent cx="4102100" cy="2187787"/>
            <wp:effectExtent l="25400" t="25400" r="25400"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6117" cy="2195263"/>
                    </a:xfrm>
                    <a:prstGeom prst="rect">
                      <a:avLst/>
                    </a:prstGeom>
                    <a:ln w="25400">
                      <a:solidFill>
                        <a:schemeClr val="accent1">
                          <a:alpha val="0"/>
                        </a:schemeClr>
                      </a:solidFill>
                    </a:ln>
                  </pic:spPr>
                </pic:pic>
              </a:graphicData>
            </a:graphic>
          </wp:inline>
        </w:drawing>
      </w:r>
    </w:p>
    <w:p w14:paraId="784875EF" w14:textId="77777777" w:rsidR="00512A02" w:rsidRPr="00C411F0" w:rsidRDefault="00512A02" w:rsidP="00512A02">
      <w:pPr>
        <w:pStyle w:val="NormalWeb"/>
        <w:widowControl w:val="0"/>
        <w:shd w:val="clear" w:color="auto" w:fill="FFFFFF"/>
        <w:spacing w:before="120" w:beforeAutospacing="0" w:after="0" w:afterAutospacing="0"/>
        <w:jc w:val="center"/>
        <w:rPr>
          <w:bCs/>
          <w:color w:val="000000" w:themeColor="text1"/>
          <w:sz w:val="28"/>
          <w:szCs w:val="28"/>
          <w:lang w:val="vi-VN"/>
        </w:rPr>
      </w:pPr>
      <w:r w:rsidRPr="00C411F0">
        <w:rPr>
          <w:bCs/>
          <w:color w:val="000000" w:themeColor="text1"/>
          <w:sz w:val="28"/>
          <w:szCs w:val="28"/>
          <w:lang w:val="vi-VN"/>
        </w:rPr>
        <w:t>Hình 3. Cơ cấu dư nợ tín dụng xanh của một số quốc gia trong khu vực ASEAN giai đoạn 2016-2021</w:t>
      </w:r>
    </w:p>
    <w:p w14:paraId="0EE141C5" w14:textId="77777777" w:rsidR="00512A02" w:rsidRPr="00C411F0" w:rsidRDefault="00512A02" w:rsidP="00AC017F">
      <w:pPr>
        <w:pStyle w:val="NormalWeb"/>
        <w:widowControl w:val="0"/>
        <w:shd w:val="clear" w:color="auto" w:fill="FFFFFF"/>
        <w:spacing w:before="60" w:beforeAutospacing="0" w:after="0" w:afterAutospacing="0"/>
        <w:jc w:val="right"/>
        <w:rPr>
          <w:bCs/>
          <w:i/>
          <w:iCs/>
          <w:color w:val="000000" w:themeColor="text1"/>
          <w:sz w:val="26"/>
          <w:szCs w:val="26"/>
          <w:lang w:val="vi-VN"/>
        </w:rPr>
      </w:pPr>
      <w:r w:rsidRPr="00C411F0">
        <w:rPr>
          <w:bCs/>
          <w:i/>
          <w:iCs/>
          <w:color w:val="000000" w:themeColor="text1"/>
          <w:sz w:val="26"/>
          <w:szCs w:val="26"/>
          <w:lang w:val="vi-VN"/>
        </w:rPr>
        <w:t>(Nguồn: Báo cáo thị trường tài chính bền vững ASEAN, CBI, tháng 6/2022)</w:t>
      </w:r>
    </w:p>
    <w:p w14:paraId="752EDD26" w14:textId="7E1FDC15" w:rsidR="004746CF" w:rsidRPr="00C411F0" w:rsidRDefault="004746CF" w:rsidP="00C51F67">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Như vậy, </w:t>
      </w:r>
      <w:r w:rsidR="00C362F4" w:rsidRPr="00C411F0">
        <w:rPr>
          <w:bCs/>
          <w:color w:val="000000" w:themeColor="text1"/>
          <w:sz w:val="28"/>
          <w:szCs w:val="28"/>
          <w:lang w:val="vi-VN"/>
        </w:rPr>
        <w:t>có thể thấy,</w:t>
      </w:r>
      <w:r w:rsidR="00AB63BB" w:rsidRPr="00C411F0">
        <w:rPr>
          <w:bCs/>
          <w:color w:val="000000" w:themeColor="text1"/>
          <w:sz w:val="28"/>
          <w:szCs w:val="28"/>
          <w:lang w:val="vi-VN"/>
        </w:rPr>
        <w:t xml:space="preserve"> xuất phát từ nhu cầu thực tế trong nước và hoà nhập với xu thế chung của quốc tế, các hoạt động tín dụng xanh, trái phiếu xanh ở nước </w:t>
      </w:r>
      <w:r w:rsidR="00AB63BB" w:rsidRPr="00C411F0">
        <w:rPr>
          <w:bCs/>
          <w:color w:val="000000" w:themeColor="text1"/>
          <w:sz w:val="28"/>
          <w:szCs w:val="28"/>
          <w:lang w:val="vi-VN"/>
        </w:rPr>
        <w:lastRenderedPageBreak/>
        <w:t>ta</w:t>
      </w:r>
      <w:r w:rsidR="003D082D" w:rsidRPr="00C411F0">
        <w:rPr>
          <w:bCs/>
          <w:color w:val="000000" w:themeColor="text1"/>
          <w:sz w:val="28"/>
          <w:szCs w:val="28"/>
          <w:lang w:val="vi-VN"/>
        </w:rPr>
        <w:t xml:space="preserve"> trong những năm qua</w:t>
      </w:r>
      <w:r w:rsidR="00AB63BB" w:rsidRPr="00C411F0">
        <w:rPr>
          <w:bCs/>
          <w:color w:val="000000" w:themeColor="text1"/>
          <w:sz w:val="28"/>
          <w:szCs w:val="28"/>
          <w:lang w:val="vi-VN"/>
        </w:rPr>
        <w:t xml:space="preserve"> đã có những khởi đầu quan trọng và đạt được những kết quả tích cực </w:t>
      </w:r>
      <w:r w:rsidR="003D082D" w:rsidRPr="00C411F0">
        <w:rPr>
          <w:bCs/>
          <w:color w:val="000000" w:themeColor="text1"/>
          <w:sz w:val="28"/>
          <w:szCs w:val="28"/>
          <w:lang w:val="vi-VN"/>
        </w:rPr>
        <w:t>nhất định</w:t>
      </w:r>
      <w:r w:rsidR="00AB63BB" w:rsidRPr="00C411F0">
        <w:rPr>
          <w:bCs/>
          <w:color w:val="000000" w:themeColor="text1"/>
          <w:sz w:val="28"/>
          <w:szCs w:val="28"/>
          <w:lang w:val="vi-VN"/>
        </w:rPr>
        <w:t xml:space="preserve">. Tuy nhiên, </w:t>
      </w:r>
      <w:r w:rsidR="003D082D" w:rsidRPr="00C411F0">
        <w:rPr>
          <w:bCs/>
          <w:color w:val="000000" w:themeColor="text1"/>
          <w:sz w:val="28"/>
          <w:szCs w:val="28"/>
          <w:lang w:val="vi-VN"/>
        </w:rPr>
        <w:t xml:space="preserve">trong giai đoạn hiện nay, </w:t>
      </w:r>
      <w:r w:rsidR="00E14158" w:rsidRPr="00C411F0">
        <w:rPr>
          <w:bCs/>
          <w:color w:val="000000" w:themeColor="text1"/>
          <w:sz w:val="28"/>
          <w:szCs w:val="28"/>
          <w:lang w:val="vi-VN"/>
        </w:rPr>
        <w:t xml:space="preserve">việc quy định rõ ràng các tiêu chí môi trường để phân loại dự án xanh là rất cần thiết </w:t>
      </w:r>
      <w:r w:rsidR="00AB63BB" w:rsidRPr="00C411F0">
        <w:rPr>
          <w:bCs/>
          <w:color w:val="000000" w:themeColor="text1"/>
          <w:sz w:val="28"/>
          <w:szCs w:val="28"/>
          <w:lang w:val="vi-VN"/>
        </w:rPr>
        <w:t xml:space="preserve">để </w:t>
      </w:r>
      <w:r w:rsidR="00E14158" w:rsidRPr="00C411F0">
        <w:rPr>
          <w:bCs/>
          <w:color w:val="000000" w:themeColor="text1"/>
          <w:sz w:val="28"/>
          <w:szCs w:val="28"/>
          <w:lang w:val="vi-VN"/>
        </w:rPr>
        <w:t xml:space="preserve">bảo đảm tính đồng bộ, </w:t>
      </w:r>
      <w:r w:rsidR="003D082D" w:rsidRPr="00C411F0">
        <w:rPr>
          <w:bCs/>
          <w:color w:val="000000" w:themeColor="text1"/>
          <w:sz w:val="28"/>
          <w:szCs w:val="28"/>
          <w:lang w:val="vi-VN"/>
        </w:rPr>
        <w:t xml:space="preserve">hiệu lực, </w:t>
      </w:r>
      <w:r w:rsidR="00E14158" w:rsidRPr="00C411F0">
        <w:rPr>
          <w:bCs/>
          <w:color w:val="000000" w:themeColor="text1"/>
          <w:sz w:val="28"/>
          <w:szCs w:val="28"/>
          <w:lang w:val="vi-VN"/>
        </w:rPr>
        <w:t xml:space="preserve">hiệu quả </w:t>
      </w:r>
      <w:r w:rsidR="003D082D" w:rsidRPr="00C411F0">
        <w:rPr>
          <w:bCs/>
          <w:color w:val="000000" w:themeColor="text1"/>
          <w:sz w:val="28"/>
          <w:szCs w:val="28"/>
          <w:lang w:val="vi-VN"/>
        </w:rPr>
        <w:t xml:space="preserve">trong quá trình </w:t>
      </w:r>
      <w:r w:rsidR="00E14158" w:rsidRPr="00C411F0">
        <w:rPr>
          <w:bCs/>
          <w:color w:val="000000" w:themeColor="text1"/>
          <w:sz w:val="28"/>
          <w:szCs w:val="28"/>
          <w:lang w:val="vi-VN"/>
        </w:rPr>
        <w:t>thực thi, quản lý các hoạt động này</w:t>
      </w:r>
      <w:r w:rsidR="003D082D" w:rsidRPr="00C411F0">
        <w:rPr>
          <w:bCs/>
          <w:color w:val="000000" w:themeColor="text1"/>
          <w:sz w:val="28"/>
          <w:szCs w:val="28"/>
          <w:lang w:val="vi-VN"/>
        </w:rPr>
        <w:t xml:space="preserve">, nhằm bảo đảm và phân bổ một cách hợp lý, hiệu quả các nguồn lực </w:t>
      </w:r>
      <w:r w:rsidR="0005134B" w:rsidRPr="00C411F0">
        <w:rPr>
          <w:bCs/>
          <w:color w:val="000000" w:themeColor="text1"/>
          <w:sz w:val="28"/>
          <w:szCs w:val="28"/>
          <w:lang w:val="vi-VN"/>
        </w:rPr>
        <w:t xml:space="preserve">cho quá trình chuyển đổi sang nền kinh tế các-bon thấp, </w:t>
      </w:r>
      <w:r w:rsidR="003D082D" w:rsidRPr="00C411F0">
        <w:rPr>
          <w:bCs/>
          <w:color w:val="000000" w:themeColor="text1"/>
          <w:sz w:val="28"/>
          <w:szCs w:val="28"/>
          <w:lang w:val="vi-VN"/>
        </w:rPr>
        <w:t>thực hiện các mục tiêu môi trường</w:t>
      </w:r>
      <w:r w:rsidR="0005134B" w:rsidRPr="00C411F0">
        <w:rPr>
          <w:bCs/>
          <w:color w:val="000000" w:themeColor="text1"/>
          <w:sz w:val="28"/>
          <w:szCs w:val="28"/>
          <w:lang w:val="vi-VN"/>
        </w:rPr>
        <w:t xml:space="preserve"> và phát triển bền vững.</w:t>
      </w:r>
    </w:p>
    <w:p w14:paraId="7675D1FE" w14:textId="26B3E4B3" w:rsidR="00347EF0" w:rsidRPr="009605FD" w:rsidRDefault="00347EF0" w:rsidP="00C51F67">
      <w:pPr>
        <w:widowControl w:val="0"/>
        <w:tabs>
          <w:tab w:val="right" w:leader="dot" w:pos="7920"/>
        </w:tabs>
        <w:spacing w:before="120" w:line="340" w:lineRule="exact"/>
        <w:ind w:firstLine="454"/>
        <w:jc w:val="both"/>
        <w:rPr>
          <w:b/>
          <w:bCs/>
          <w:i/>
          <w:iCs/>
          <w:color w:val="000000" w:themeColor="text1"/>
          <w:lang w:val="vi-VN"/>
        </w:rPr>
      </w:pPr>
      <w:r w:rsidRPr="009605FD">
        <w:rPr>
          <w:b/>
          <w:bCs/>
          <w:i/>
          <w:iCs/>
          <w:color w:val="000000" w:themeColor="text1"/>
          <w:lang w:val="vi-VN"/>
        </w:rPr>
        <w:t>1.2. Mục tiêu giải quyết vấn đề</w:t>
      </w:r>
      <w:r w:rsidR="00BD5B67" w:rsidRPr="009605FD">
        <w:rPr>
          <w:b/>
          <w:bCs/>
          <w:i/>
          <w:iCs/>
          <w:color w:val="000000" w:themeColor="text1"/>
          <w:lang w:val="vi-VN"/>
        </w:rPr>
        <w:t>:</w:t>
      </w:r>
    </w:p>
    <w:p w14:paraId="5E5978C6" w14:textId="3676743A" w:rsidR="00BD5B67" w:rsidRPr="00C411F0" w:rsidRDefault="007755BF" w:rsidP="00C51F67">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Căn cứ các quy định tại Điều 149</w:t>
      </w:r>
      <w:r w:rsidR="00AC017F" w:rsidRPr="009605FD">
        <w:rPr>
          <w:bCs/>
          <w:color w:val="000000" w:themeColor="text1"/>
          <w:sz w:val="28"/>
          <w:szCs w:val="28"/>
          <w:lang w:val="vi-VN"/>
        </w:rPr>
        <w:t xml:space="preserve"> và</w:t>
      </w:r>
      <w:r w:rsidRPr="00C411F0">
        <w:rPr>
          <w:bCs/>
          <w:color w:val="000000" w:themeColor="text1"/>
          <w:sz w:val="28"/>
          <w:szCs w:val="28"/>
          <w:lang w:val="vi-VN"/>
        </w:rPr>
        <w:t xml:space="preserve"> 150 của Luật BVMT 2020 và các quy định liên quan tại Nghị định số 08/2022/NĐ-CP,</w:t>
      </w:r>
      <w:r w:rsidR="0005134B" w:rsidRPr="00C411F0">
        <w:rPr>
          <w:bCs/>
          <w:color w:val="000000" w:themeColor="text1"/>
          <w:sz w:val="28"/>
          <w:szCs w:val="28"/>
          <w:lang w:val="vi-VN"/>
        </w:rPr>
        <w:t xml:space="preserve"> </w:t>
      </w:r>
      <w:r w:rsidRPr="00C411F0">
        <w:rPr>
          <w:bCs/>
          <w:color w:val="000000" w:themeColor="text1"/>
          <w:sz w:val="28"/>
          <w:szCs w:val="28"/>
          <w:lang w:val="vi-VN"/>
        </w:rPr>
        <w:t xml:space="preserve">quy định cụ thể các tiêu chí môi trường </w:t>
      </w:r>
      <w:r w:rsidR="0005134B" w:rsidRPr="00C411F0">
        <w:rPr>
          <w:bCs/>
          <w:color w:val="000000" w:themeColor="text1"/>
          <w:sz w:val="28"/>
          <w:szCs w:val="28"/>
          <w:lang w:val="vi-VN"/>
        </w:rPr>
        <w:t>làm cơ sở xác định dự án</w:t>
      </w:r>
      <w:r w:rsidR="00FE4EEC">
        <w:rPr>
          <w:bCs/>
          <w:color w:val="000000" w:themeColor="text1"/>
          <w:sz w:val="28"/>
          <w:szCs w:val="28"/>
          <w:lang w:val="vi-VN"/>
        </w:rPr>
        <w:t xml:space="preserve"> </w:t>
      </w:r>
      <w:r w:rsidR="0005134B" w:rsidRPr="00C411F0">
        <w:rPr>
          <w:bCs/>
          <w:color w:val="000000" w:themeColor="text1"/>
          <w:sz w:val="28"/>
          <w:szCs w:val="28"/>
          <w:lang w:val="vi-VN"/>
        </w:rPr>
        <w:t>được cấp tín dụng xanh, phát hành trái phiếu xanh trong điều kiện Việt Nam, phù hợp với thông lệ quốc tế và ban hành Danh mục phân loại xanh (với các tiêu chí môi trường cụ thể) nhằm tạo điều kiện thuận lợi cho các tổ chức, cá nhân áp dụng trong quá trình triển khai các hoạt động liên quan đến cấp tín dụng xanh, phát hành trái phiếu xanh; thuận lợi cho việc thống kê, theo dõi, đánh giá tình hình cấp tín dụng xanh, phát hành trái phiếu xanh</w:t>
      </w:r>
      <w:r w:rsidR="00FD069B" w:rsidRPr="00C411F0">
        <w:rPr>
          <w:bCs/>
          <w:color w:val="000000" w:themeColor="text1"/>
          <w:sz w:val="28"/>
          <w:szCs w:val="28"/>
          <w:lang w:val="vi-VN"/>
        </w:rPr>
        <w:t>; thuận lợi cho công tác</w:t>
      </w:r>
      <w:r w:rsidR="0005134B" w:rsidRPr="00C411F0">
        <w:rPr>
          <w:bCs/>
          <w:color w:val="000000" w:themeColor="text1"/>
          <w:sz w:val="28"/>
          <w:szCs w:val="28"/>
          <w:lang w:val="vi-VN"/>
        </w:rPr>
        <w:t xml:space="preserve"> quản lý, phân bổ nguồn vốn đầu tư để thực hiện hiệu quả các mục tiêu </w:t>
      </w:r>
      <w:r w:rsidR="00FD069B" w:rsidRPr="00C411F0">
        <w:rPr>
          <w:bCs/>
          <w:color w:val="000000" w:themeColor="text1"/>
          <w:sz w:val="28"/>
          <w:szCs w:val="28"/>
          <w:lang w:val="vi-VN"/>
        </w:rPr>
        <w:t xml:space="preserve">môi trường </w:t>
      </w:r>
      <w:r w:rsidR="0005134B" w:rsidRPr="00C411F0">
        <w:rPr>
          <w:bCs/>
          <w:color w:val="000000" w:themeColor="text1"/>
          <w:sz w:val="28"/>
          <w:szCs w:val="28"/>
          <w:lang w:val="vi-VN"/>
        </w:rPr>
        <w:t xml:space="preserve">và </w:t>
      </w:r>
      <w:r w:rsidR="00FD069B" w:rsidRPr="00C411F0">
        <w:rPr>
          <w:bCs/>
          <w:color w:val="000000" w:themeColor="text1"/>
          <w:sz w:val="28"/>
          <w:szCs w:val="28"/>
          <w:lang w:val="vi-VN"/>
        </w:rPr>
        <w:t>phát triển bền vững</w:t>
      </w:r>
      <w:r w:rsidRPr="00C411F0">
        <w:rPr>
          <w:bCs/>
          <w:color w:val="000000" w:themeColor="text1"/>
          <w:sz w:val="28"/>
          <w:szCs w:val="28"/>
          <w:lang w:val="vi-VN"/>
        </w:rPr>
        <w:t>.</w:t>
      </w:r>
    </w:p>
    <w:p w14:paraId="2105ED71" w14:textId="4282A42D" w:rsidR="00347EF0" w:rsidRPr="009605FD" w:rsidRDefault="00347EF0" w:rsidP="00347EF0">
      <w:pPr>
        <w:widowControl w:val="0"/>
        <w:tabs>
          <w:tab w:val="right" w:leader="dot" w:pos="7920"/>
        </w:tabs>
        <w:spacing w:before="80" w:line="376" w:lineRule="exact"/>
        <w:ind w:firstLine="454"/>
        <w:jc w:val="both"/>
        <w:rPr>
          <w:b/>
          <w:bCs/>
          <w:i/>
          <w:iCs/>
          <w:color w:val="000000" w:themeColor="text1"/>
          <w:lang w:val="vi-VN"/>
        </w:rPr>
      </w:pPr>
      <w:r w:rsidRPr="009605FD">
        <w:rPr>
          <w:b/>
          <w:bCs/>
          <w:i/>
          <w:iCs/>
          <w:color w:val="000000" w:themeColor="text1"/>
          <w:lang w:val="vi-VN"/>
        </w:rPr>
        <w:t>1.3. Các giải pháp đề xuất để giải quyết vấn đề</w:t>
      </w:r>
      <w:r w:rsidR="00DF7101" w:rsidRPr="009605FD">
        <w:rPr>
          <w:b/>
          <w:bCs/>
          <w:i/>
          <w:iCs/>
          <w:color w:val="000000" w:themeColor="text1"/>
          <w:lang w:val="vi-VN"/>
        </w:rPr>
        <w:t>:</w:t>
      </w:r>
    </w:p>
    <w:p w14:paraId="28E12B70" w14:textId="0EB26F2D" w:rsidR="00DF7101" w:rsidRPr="00C411F0" w:rsidRDefault="00DF7101" w:rsidP="00BE7B36">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 Phương án </w:t>
      </w:r>
      <w:r w:rsidR="00AD12B2" w:rsidRPr="00C411F0">
        <w:rPr>
          <w:color w:val="000000" w:themeColor="text1"/>
          <w:lang w:val="vi-VN"/>
        </w:rPr>
        <w:t>0</w:t>
      </w:r>
      <w:r w:rsidRPr="00C411F0">
        <w:rPr>
          <w:color w:val="000000" w:themeColor="text1"/>
          <w:lang w:val="vi-VN"/>
        </w:rPr>
        <w:t xml:space="preserve">: Giữ nguyên </w:t>
      </w:r>
      <w:r w:rsidR="00BE7B36" w:rsidRPr="00C411F0">
        <w:rPr>
          <w:color w:val="000000" w:themeColor="text1"/>
          <w:lang w:val="vi-VN"/>
        </w:rPr>
        <w:t xml:space="preserve">như hiện hành </w:t>
      </w:r>
      <w:r w:rsidR="00FD069B" w:rsidRPr="00C411F0">
        <w:rPr>
          <w:color w:val="000000" w:themeColor="text1"/>
          <w:lang w:val="vi-VN"/>
        </w:rPr>
        <w:t>(</w:t>
      </w:r>
      <w:r w:rsidR="00B03848" w:rsidRPr="00C411F0">
        <w:rPr>
          <w:color w:val="000000" w:themeColor="text1"/>
          <w:lang w:val="vi-VN"/>
        </w:rPr>
        <w:t xml:space="preserve">không </w:t>
      </w:r>
      <w:r w:rsidR="00FD069B" w:rsidRPr="00C411F0">
        <w:rPr>
          <w:color w:val="000000" w:themeColor="text1"/>
          <w:lang w:val="vi-VN"/>
        </w:rPr>
        <w:t>quy định về tiêu chí môi trường</w:t>
      </w:r>
      <w:r w:rsidR="00C51F67" w:rsidRPr="00C411F0">
        <w:rPr>
          <w:color w:val="000000" w:themeColor="text1"/>
          <w:lang w:val="vi-VN"/>
        </w:rPr>
        <w:t xml:space="preserve">, </w:t>
      </w:r>
      <w:r w:rsidR="00FD069B" w:rsidRPr="00C411F0">
        <w:rPr>
          <w:color w:val="000000" w:themeColor="text1"/>
          <w:lang w:val="vi-VN"/>
        </w:rPr>
        <w:t>danh mục phân loại xanh như hiện nay)</w:t>
      </w:r>
    </w:p>
    <w:p w14:paraId="1D0C9ABF" w14:textId="084D82AC" w:rsidR="007A3023" w:rsidRPr="00C411F0" w:rsidRDefault="00DF7101" w:rsidP="00BE7B36">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 Phương án </w:t>
      </w:r>
      <w:r w:rsidR="00AD12B2" w:rsidRPr="00C411F0">
        <w:rPr>
          <w:color w:val="000000" w:themeColor="text1"/>
          <w:lang w:val="vi-VN"/>
        </w:rPr>
        <w:t>1</w:t>
      </w:r>
      <w:r w:rsidRPr="00C411F0">
        <w:rPr>
          <w:color w:val="000000" w:themeColor="text1"/>
          <w:lang w:val="vi-VN"/>
        </w:rPr>
        <w:t xml:space="preserve">: </w:t>
      </w:r>
      <w:r w:rsidR="0024233A" w:rsidRPr="00C411F0">
        <w:rPr>
          <w:color w:val="000000" w:themeColor="text1"/>
          <w:lang w:val="vi-VN"/>
        </w:rPr>
        <w:t xml:space="preserve">Quy định </w:t>
      </w:r>
      <w:r w:rsidR="00B03848" w:rsidRPr="00C411F0">
        <w:rPr>
          <w:color w:val="000000" w:themeColor="text1"/>
          <w:lang w:val="vi-VN"/>
        </w:rPr>
        <w:t xml:space="preserve">rõ </w:t>
      </w:r>
      <w:r w:rsidR="00B03848" w:rsidRPr="00C411F0">
        <w:rPr>
          <w:bCs/>
          <w:color w:val="000000" w:themeColor="text1"/>
          <w:lang w:val="vi-VN"/>
        </w:rPr>
        <w:t>các tiêu chí môi trường làm cơ sở xác định dự án</w:t>
      </w:r>
      <w:r w:rsidR="00FE4EEC">
        <w:rPr>
          <w:bCs/>
          <w:color w:val="000000" w:themeColor="text1"/>
          <w:lang w:val="vi-VN"/>
        </w:rPr>
        <w:t xml:space="preserve"> </w:t>
      </w:r>
      <w:r w:rsidR="00B03848" w:rsidRPr="00C411F0">
        <w:rPr>
          <w:bCs/>
          <w:color w:val="000000" w:themeColor="text1"/>
          <w:lang w:val="vi-VN"/>
        </w:rPr>
        <w:t>được cấp tín dụng xanh, phát hành trái phiếu xanh</w:t>
      </w:r>
      <w:r w:rsidR="00C51F67" w:rsidRPr="00C411F0">
        <w:rPr>
          <w:bCs/>
          <w:color w:val="000000" w:themeColor="text1"/>
          <w:lang w:val="vi-VN"/>
        </w:rPr>
        <w:t xml:space="preserve"> và</w:t>
      </w:r>
      <w:r w:rsidR="00B03848" w:rsidRPr="00C411F0">
        <w:rPr>
          <w:bCs/>
          <w:color w:val="000000" w:themeColor="text1"/>
          <w:lang w:val="vi-VN"/>
        </w:rPr>
        <w:t xml:space="preserve"> ban hành </w:t>
      </w:r>
      <w:r w:rsidR="0024233A" w:rsidRPr="00C411F0">
        <w:rPr>
          <w:color w:val="000000" w:themeColor="text1"/>
          <w:lang w:val="vi-VN"/>
        </w:rPr>
        <w:t xml:space="preserve">Danh mục </w:t>
      </w:r>
      <w:r w:rsidR="00B03848" w:rsidRPr="00C411F0">
        <w:rPr>
          <w:color w:val="000000" w:themeColor="text1"/>
          <w:lang w:val="vi-VN"/>
        </w:rPr>
        <w:t xml:space="preserve">phân loại </w:t>
      </w:r>
      <w:r w:rsidR="0024233A" w:rsidRPr="00C411F0">
        <w:rPr>
          <w:color w:val="000000" w:themeColor="text1"/>
          <w:lang w:val="vi-VN"/>
        </w:rPr>
        <w:t>xanh gồm: loại hình, mã ngành kinh tế, tiêu chí sàng lọc (ngưỡng, chỉ tiêu cho phép)</w:t>
      </w:r>
      <w:r w:rsidR="00B03848" w:rsidRPr="00C411F0">
        <w:rPr>
          <w:color w:val="000000" w:themeColor="text1"/>
          <w:lang w:val="vi-VN"/>
        </w:rPr>
        <w:t xml:space="preserve">, </w:t>
      </w:r>
      <w:r w:rsidR="0024233A" w:rsidRPr="00C411F0">
        <w:rPr>
          <w:color w:val="000000" w:themeColor="text1"/>
          <w:lang w:val="vi-VN"/>
        </w:rPr>
        <w:t xml:space="preserve">điều kiện (yêu cầu không gây hại đến các mục tiêu môi trường khác) đối với </w:t>
      </w:r>
      <w:r w:rsidR="00B03848" w:rsidRPr="00C411F0">
        <w:rPr>
          <w:bCs/>
          <w:color w:val="000000" w:themeColor="text1"/>
          <w:lang w:val="vi-VN"/>
        </w:rPr>
        <w:t>dự án</w:t>
      </w:r>
      <w:r w:rsidR="00FE4EEC">
        <w:rPr>
          <w:bCs/>
          <w:color w:val="000000" w:themeColor="text1"/>
          <w:lang w:val="vi-VN"/>
        </w:rPr>
        <w:t xml:space="preserve"> </w:t>
      </w:r>
      <w:r w:rsidR="00B03848" w:rsidRPr="00C411F0">
        <w:rPr>
          <w:bCs/>
          <w:color w:val="000000" w:themeColor="text1"/>
          <w:lang w:val="vi-VN"/>
        </w:rPr>
        <w:t>được cấp tín dụng xanh, phát hành trái phiếu xanh</w:t>
      </w:r>
      <w:r w:rsidR="00C51F67" w:rsidRPr="00C411F0">
        <w:rPr>
          <w:color w:val="000000" w:themeColor="text1"/>
          <w:lang w:val="vi-VN"/>
        </w:rPr>
        <w:t xml:space="preserve"> </w:t>
      </w:r>
    </w:p>
    <w:p w14:paraId="11FD4002" w14:textId="6B04E9E1" w:rsidR="0024233A" w:rsidRPr="00C411F0" w:rsidRDefault="00C51F67" w:rsidP="00183B5D">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(Dự kiến </w:t>
      </w:r>
      <w:r w:rsidR="001E701F">
        <w:rPr>
          <w:color w:val="000000" w:themeColor="text1"/>
          <w:lang w:val="vi-VN"/>
        </w:rPr>
        <w:t xml:space="preserve">Danh mục phân loại xanh </w:t>
      </w:r>
      <w:r w:rsidR="00183B5D">
        <w:rPr>
          <w:color w:val="000000" w:themeColor="text1"/>
          <w:lang w:val="vi-VN"/>
        </w:rPr>
        <w:t xml:space="preserve">(Phụ lục I) gồm </w:t>
      </w:r>
      <w:r w:rsidR="00FC712F">
        <w:rPr>
          <w:color w:val="000000" w:themeColor="text1"/>
          <w:lang w:val="vi-VN"/>
        </w:rPr>
        <w:t>80</w:t>
      </w:r>
      <w:r w:rsidR="00183B5D">
        <w:rPr>
          <w:color w:val="000000" w:themeColor="text1"/>
          <w:lang w:val="vi-VN"/>
        </w:rPr>
        <w:t xml:space="preserve"> loại hình</w:t>
      </w:r>
      <w:r w:rsidR="00FE4EEC">
        <w:rPr>
          <w:color w:val="000000" w:themeColor="text1"/>
          <w:lang w:val="vi-VN"/>
        </w:rPr>
        <w:t xml:space="preserve"> </w:t>
      </w:r>
      <w:r w:rsidR="00FC712F">
        <w:rPr>
          <w:color w:val="000000" w:themeColor="text1"/>
          <w:lang w:val="vi-VN"/>
        </w:rPr>
        <w:t xml:space="preserve">dự án đầu tư </w:t>
      </w:r>
      <w:r w:rsidR="00FC712F" w:rsidRPr="00A41810">
        <w:rPr>
          <w:color w:val="000000" w:themeColor="text1"/>
          <w:lang w:val="vi-VN"/>
        </w:rPr>
        <w:t xml:space="preserve">phân thành 09 nhóm </w:t>
      </w:r>
      <w:r w:rsidR="00FC712F">
        <w:rPr>
          <w:color w:val="000000" w:themeColor="text1"/>
          <w:lang w:val="vi-VN"/>
        </w:rPr>
        <w:t>theo lĩnh vực và đặc thù “tính xanh” của dự án, gồm</w:t>
      </w:r>
      <w:r w:rsidR="00FC712F" w:rsidRPr="00A41810">
        <w:rPr>
          <w:color w:val="000000" w:themeColor="text1"/>
          <w:lang w:val="vi-VN"/>
        </w:rPr>
        <w:t>: năng lượng (19 dự án); giao thông, vận tải (03 dự án); xây dựng (03 dự án); tài nguyên nước (07 dự án); nông nghiệp, lâm nghiệp, thủy sản và bảo tồn đa dạng sinh học (19 dự án); công nghiệp chế biến, chế tạo (05 dự án); chất thải (11 dự án); thông tin, truyền thông và dịch vụ (08 dự án); chuyển đổi xanh (05 dự án)</w:t>
      </w:r>
      <w:r w:rsidR="00183B5D">
        <w:rPr>
          <w:color w:val="000000" w:themeColor="text1"/>
          <w:lang w:val="vi-VN"/>
        </w:rPr>
        <w:t xml:space="preserve">. Như vậy, danh mục phân loại xanh để cấp tín dụng xanh, phát hành trái phiếu xanh </w:t>
      </w:r>
      <w:r w:rsidR="007A3023" w:rsidRPr="00C411F0">
        <w:rPr>
          <w:color w:val="000000" w:themeColor="text1"/>
          <w:lang w:val="vi-VN"/>
        </w:rPr>
        <w:t xml:space="preserve"> </w:t>
      </w:r>
      <w:r w:rsidR="0024233A" w:rsidRPr="00C411F0">
        <w:rPr>
          <w:color w:val="000000" w:themeColor="text1"/>
          <w:lang w:val="vi-VN"/>
        </w:rPr>
        <w:t>không chỉ gồm các loại hình dự án “xanh truyền thống”</w:t>
      </w:r>
      <w:r w:rsidR="0024233A" w:rsidRPr="00C411F0">
        <w:rPr>
          <w:color w:val="000000" w:themeColor="text1"/>
          <w:vertAlign w:val="superscript"/>
        </w:rPr>
        <w:footnoteReference w:id="8"/>
      </w:r>
      <w:r w:rsidR="0024233A" w:rsidRPr="00C411F0">
        <w:rPr>
          <w:color w:val="000000" w:themeColor="text1"/>
          <w:lang w:val="vi-VN"/>
        </w:rPr>
        <w:t xml:space="preserve"> mà còn mở rộng cho </w:t>
      </w:r>
      <w:r w:rsidR="00FC712F" w:rsidRPr="00E22B7D">
        <w:t>loại hình dự án đầu tư có phát thải khí nhà kính lớn</w:t>
      </w:r>
      <w:r w:rsidR="00FC712F">
        <w:rPr>
          <w:lang w:val="vi-VN"/>
        </w:rPr>
        <w:t xml:space="preserve"> đang </w:t>
      </w:r>
      <w:r w:rsidR="00183B5D">
        <w:rPr>
          <w:color w:val="000000" w:themeColor="text1"/>
          <w:lang w:val="vi-VN"/>
        </w:rPr>
        <w:t>hướng đến việc chuyển đổi công nghệ, kỹ thuật, quy trình hoặc các yếu tố liên quan để</w:t>
      </w:r>
      <w:r w:rsidR="0024233A" w:rsidRPr="00C411F0">
        <w:rPr>
          <w:color w:val="000000" w:themeColor="text1"/>
          <w:lang w:val="vi-VN"/>
        </w:rPr>
        <w:t xml:space="preserve"> mang lại lợi ích về môi trường </w:t>
      </w:r>
      <w:r w:rsidR="00FC712F">
        <w:rPr>
          <w:color w:val="000000" w:themeColor="text1"/>
          <w:lang w:val="vi-VN"/>
        </w:rPr>
        <w:t>như sản xuất xi măng, sắt, thép sử dụng hiệu quả năng lượng; sản xuất nhiệt, điện từ nhiên liệu khí áp dụng công nghệ, kỹ thuật mới</w:t>
      </w:r>
      <w:r w:rsidR="0024233A" w:rsidRPr="00C411F0">
        <w:rPr>
          <w:color w:val="000000" w:themeColor="text1"/>
          <w:lang w:val="vi-VN"/>
        </w:rPr>
        <w:t>…</w:t>
      </w:r>
      <w:r w:rsidR="007A3023" w:rsidRPr="00C411F0">
        <w:rPr>
          <w:color w:val="000000" w:themeColor="text1"/>
          <w:lang w:val="vi-VN"/>
        </w:rPr>
        <w:t xml:space="preserve"> trên cơ sở quy định tại các Điều 149</w:t>
      </w:r>
      <w:r w:rsidR="00AC017F" w:rsidRPr="009605FD">
        <w:rPr>
          <w:color w:val="000000" w:themeColor="text1"/>
          <w:lang w:val="vi-VN"/>
        </w:rPr>
        <w:t xml:space="preserve"> và</w:t>
      </w:r>
      <w:r w:rsidR="007A3023" w:rsidRPr="00C411F0">
        <w:rPr>
          <w:color w:val="000000" w:themeColor="text1"/>
          <w:lang w:val="vi-VN"/>
        </w:rPr>
        <w:t xml:space="preserve"> 150 của Luật BVMT 2020 và kế thừa các kinh nghiệm </w:t>
      </w:r>
      <w:r w:rsidR="007A3023" w:rsidRPr="00C411F0">
        <w:rPr>
          <w:color w:val="000000" w:themeColor="text1"/>
          <w:lang w:val="vi-VN"/>
        </w:rPr>
        <w:lastRenderedPageBreak/>
        <w:t>quốc tế, các hướng dẫn hiện hành).</w:t>
      </w:r>
    </w:p>
    <w:p w14:paraId="7B72DEBD" w14:textId="6DA15E22" w:rsidR="00347EF0" w:rsidRPr="009605FD" w:rsidRDefault="00347EF0" w:rsidP="00347EF0">
      <w:pPr>
        <w:widowControl w:val="0"/>
        <w:tabs>
          <w:tab w:val="right" w:leader="dot" w:pos="7920"/>
        </w:tabs>
        <w:spacing w:before="80" w:line="376" w:lineRule="exact"/>
        <w:ind w:firstLine="454"/>
        <w:jc w:val="both"/>
        <w:rPr>
          <w:b/>
          <w:bCs/>
          <w:color w:val="000000" w:themeColor="text1"/>
          <w:lang w:val="vi-VN"/>
        </w:rPr>
      </w:pPr>
      <w:r w:rsidRPr="009605FD">
        <w:rPr>
          <w:b/>
          <w:bCs/>
          <w:color w:val="000000" w:themeColor="text1"/>
          <w:lang w:val="vi-VN"/>
        </w:rPr>
        <w:t>1.4. Đánh giá tác động của các giải pháp đối với đối tượng chịu sự tác động trực tiếp của chính sách và các đối tượng khác có liên quan.</w:t>
      </w:r>
    </w:p>
    <w:p w14:paraId="62A51E55" w14:textId="420E6897" w:rsidR="00DF7101" w:rsidRPr="00C411F0" w:rsidRDefault="00BD5B67" w:rsidP="00BE7B36">
      <w:pPr>
        <w:widowControl w:val="0"/>
        <w:tabs>
          <w:tab w:val="right" w:leader="dot" w:pos="7920"/>
        </w:tabs>
        <w:spacing w:before="120" w:line="340" w:lineRule="exact"/>
        <w:ind w:firstLine="454"/>
        <w:jc w:val="both"/>
        <w:rPr>
          <w:i/>
          <w:iCs/>
          <w:color w:val="000000" w:themeColor="text1"/>
          <w:u w:val="single"/>
          <w:lang w:val="vi-VN"/>
        </w:rPr>
      </w:pPr>
      <w:r w:rsidRPr="00C411F0">
        <w:rPr>
          <w:i/>
          <w:iCs/>
          <w:color w:val="000000" w:themeColor="text1"/>
          <w:u w:val="single"/>
          <w:lang w:val="vi-VN"/>
        </w:rPr>
        <w:t>1.4.1.</w:t>
      </w:r>
      <w:r w:rsidR="00DF7101" w:rsidRPr="00C411F0">
        <w:rPr>
          <w:i/>
          <w:iCs/>
          <w:color w:val="000000" w:themeColor="text1"/>
          <w:u w:val="single"/>
          <w:lang w:val="vi-VN"/>
        </w:rPr>
        <w:t xml:space="preserve"> Phương án </w:t>
      </w:r>
      <w:r w:rsidR="00AD12B2" w:rsidRPr="00C411F0">
        <w:rPr>
          <w:i/>
          <w:iCs/>
          <w:color w:val="000000" w:themeColor="text1"/>
          <w:u w:val="single"/>
          <w:lang w:val="vi-VN"/>
        </w:rPr>
        <w:t>0</w:t>
      </w:r>
      <w:r w:rsidR="00DF7101" w:rsidRPr="00C411F0">
        <w:rPr>
          <w:i/>
          <w:iCs/>
          <w:color w:val="000000" w:themeColor="text1"/>
          <w:u w:val="single"/>
          <w:lang w:val="vi-VN"/>
        </w:rPr>
        <w:t>: Giữ nguyên hiện trạng</w:t>
      </w:r>
      <w:r w:rsidR="007A3023" w:rsidRPr="00C411F0">
        <w:rPr>
          <w:i/>
          <w:iCs/>
          <w:color w:val="000000" w:themeColor="text1"/>
          <w:u w:val="single"/>
          <w:lang w:val="vi-VN"/>
        </w:rPr>
        <w:t xml:space="preserve"> (không quy định về tiêu chí môi trường đối với các dự án được cấp tín dụng xanh, phát hành trái phiếu xanh và không ban hành danh mục phân loại xanh)</w:t>
      </w:r>
    </w:p>
    <w:p w14:paraId="062DE05A" w14:textId="608E306D" w:rsidR="007A3023" w:rsidRPr="00C411F0" w:rsidRDefault="003C39C7" w:rsidP="00BE7B36">
      <w:pPr>
        <w:widowControl w:val="0"/>
        <w:spacing w:before="120" w:line="340" w:lineRule="exact"/>
        <w:ind w:firstLine="454"/>
        <w:jc w:val="both"/>
        <w:rPr>
          <w:b/>
          <w:bCs/>
          <w:i/>
          <w:color w:val="000000" w:themeColor="text1"/>
          <w:highlight w:val="white"/>
          <w:lang w:val="vi-VN"/>
        </w:rPr>
      </w:pPr>
      <w:r w:rsidRPr="00C411F0">
        <w:rPr>
          <w:b/>
          <w:bCs/>
          <w:i/>
          <w:color w:val="000000" w:themeColor="text1"/>
          <w:highlight w:val="white"/>
          <w:lang w:val="nl-NL"/>
        </w:rPr>
        <w:t>a</w:t>
      </w:r>
      <w:r w:rsidRPr="00C411F0">
        <w:rPr>
          <w:b/>
          <w:bCs/>
          <w:i/>
          <w:color w:val="000000" w:themeColor="text1"/>
          <w:highlight w:val="white"/>
          <w:lang w:val="vi-VN"/>
        </w:rPr>
        <w:t>)</w:t>
      </w:r>
      <w:r w:rsidR="007A3023" w:rsidRPr="00C411F0">
        <w:rPr>
          <w:b/>
          <w:bCs/>
          <w:i/>
          <w:color w:val="000000" w:themeColor="text1"/>
          <w:highlight w:val="white"/>
          <w:lang w:val="nl-NL"/>
        </w:rPr>
        <w:t xml:space="preserve"> Tác động về kinh tế</w:t>
      </w:r>
      <w:r w:rsidR="007A3023" w:rsidRPr="00C411F0">
        <w:rPr>
          <w:b/>
          <w:bCs/>
          <w:i/>
          <w:color w:val="000000" w:themeColor="text1"/>
          <w:highlight w:val="white"/>
          <w:lang w:val="vi-VN"/>
        </w:rPr>
        <w:t>:</w:t>
      </w:r>
    </w:p>
    <w:p w14:paraId="51F6245B" w14:textId="67CA438C" w:rsidR="003C39C7" w:rsidRPr="00C411F0" w:rsidRDefault="003C39C7" w:rsidP="00BE7B36">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Đối với Nhà nước: </w:t>
      </w:r>
    </w:p>
    <w:p w14:paraId="6ADDA5CD" w14:textId="022CBD93" w:rsidR="003C39C7" w:rsidRPr="00C411F0" w:rsidRDefault="003C39C7" w:rsidP="00BE7B36">
      <w:pPr>
        <w:widowControl w:val="0"/>
        <w:spacing w:before="120" w:line="340" w:lineRule="exact"/>
        <w:ind w:firstLine="720"/>
        <w:jc w:val="both"/>
        <w:rPr>
          <w:color w:val="000000" w:themeColor="text1"/>
          <w:highlight w:val="white"/>
          <w:lang w:val="nl-NL"/>
        </w:rPr>
      </w:pPr>
      <w:r w:rsidRPr="00C411F0">
        <w:rPr>
          <w:i/>
          <w:color w:val="000000" w:themeColor="text1"/>
          <w:highlight w:val="white"/>
          <w:lang w:val="vi-VN"/>
        </w:rPr>
        <w:t xml:space="preserve">- </w:t>
      </w:r>
      <w:r w:rsidRPr="00C411F0">
        <w:rPr>
          <w:i/>
          <w:color w:val="000000" w:themeColor="text1"/>
          <w:highlight w:val="white"/>
          <w:lang w:val="nl-NL"/>
        </w:rPr>
        <w:t>Tác động tích</w:t>
      </w:r>
      <w:r w:rsidRPr="00C411F0">
        <w:rPr>
          <w:i/>
          <w:color w:val="000000" w:themeColor="text1"/>
          <w:highlight w:val="white"/>
          <w:lang w:val="vi-VN"/>
        </w:rPr>
        <w:t xml:space="preserve"> </w:t>
      </w:r>
      <w:r w:rsidRPr="00C411F0">
        <w:rPr>
          <w:i/>
          <w:color w:val="000000" w:themeColor="text1"/>
          <w:highlight w:val="white"/>
          <w:lang w:val="nl-NL"/>
        </w:rPr>
        <w:t>cực</w:t>
      </w:r>
      <w:r w:rsidRPr="00C411F0">
        <w:rPr>
          <w:color w:val="000000" w:themeColor="text1"/>
          <w:highlight w:val="white"/>
          <w:lang w:val="nl-NL"/>
        </w:rPr>
        <w:t>:</w:t>
      </w:r>
    </w:p>
    <w:p w14:paraId="542E9525" w14:textId="3617F41E" w:rsidR="003C39C7" w:rsidRPr="00C411F0" w:rsidRDefault="003C39C7"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nl-NL"/>
        </w:rPr>
        <w:t>+ Cơ</w:t>
      </w:r>
      <w:r w:rsidRPr="00C411F0">
        <w:rPr>
          <w:bCs/>
          <w:color w:val="000000" w:themeColor="text1"/>
          <w:sz w:val="28"/>
          <w:szCs w:val="28"/>
          <w:lang w:val="vi-VN"/>
        </w:rPr>
        <w:t xml:space="preserve"> quan quản lý nhà nước (</w:t>
      </w:r>
      <w:r w:rsidRPr="009605FD">
        <w:rPr>
          <w:bCs/>
          <w:color w:val="000000" w:themeColor="text1"/>
          <w:sz w:val="28"/>
          <w:szCs w:val="28"/>
          <w:lang w:val="nl-NL"/>
        </w:rPr>
        <w:t>Bộ</w:t>
      </w:r>
      <w:r w:rsidRPr="00C411F0">
        <w:rPr>
          <w:bCs/>
          <w:color w:val="000000" w:themeColor="text1"/>
          <w:sz w:val="28"/>
          <w:szCs w:val="28"/>
          <w:lang w:val="vi-VN"/>
        </w:rPr>
        <w:t xml:space="preserve"> TNMT và các Bộ, ngành, cơ quan liên quan) không mất</w:t>
      </w:r>
      <w:r w:rsidR="00B071B6" w:rsidRPr="00C411F0">
        <w:rPr>
          <w:bCs/>
          <w:color w:val="000000" w:themeColor="text1"/>
          <w:sz w:val="28"/>
          <w:szCs w:val="28"/>
          <w:lang w:val="vi-VN"/>
        </w:rPr>
        <w:t xml:space="preserve"> bất kỳ </w:t>
      </w:r>
      <w:r w:rsidR="00672A53" w:rsidRPr="00C411F0">
        <w:rPr>
          <w:bCs/>
          <w:color w:val="000000" w:themeColor="text1"/>
          <w:sz w:val="28"/>
          <w:szCs w:val="28"/>
          <w:lang w:val="vi-VN"/>
        </w:rPr>
        <w:t xml:space="preserve">khoản </w:t>
      </w:r>
      <w:r w:rsidRPr="00C411F0">
        <w:rPr>
          <w:bCs/>
          <w:color w:val="000000" w:themeColor="text1"/>
          <w:sz w:val="28"/>
          <w:szCs w:val="28"/>
          <w:lang w:val="vi-VN"/>
        </w:rPr>
        <w:t>chi phí</w:t>
      </w:r>
      <w:r w:rsidR="00B071B6" w:rsidRPr="00C411F0">
        <w:rPr>
          <w:bCs/>
          <w:color w:val="000000" w:themeColor="text1"/>
          <w:sz w:val="28"/>
          <w:szCs w:val="28"/>
          <w:lang w:val="vi-VN"/>
        </w:rPr>
        <w:t xml:space="preserve"> nào vì không phải xây dựng các tài liệu hướng dẫn, tổ chức các chương trình đào tạo</w:t>
      </w:r>
      <w:r w:rsidR="00F63D30" w:rsidRPr="00C411F0">
        <w:rPr>
          <w:bCs/>
          <w:color w:val="000000" w:themeColor="text1"/>
          <w:sz w:val="28"/>
          <w:szCs w:val="28"/>
          <w:lang w:val="vi-VN"/>
        </w:rPr>
        <w:t xml:space="preserve"> liên quan đến quy định mới.</w:t>
      </w:r>
      <w:r w:rsidR="00ED3095" w:rsidRPr="00C411F0">
        <w:rPr>
          <w:bCs/>
          <w:color w:val="000000" w:themeColor="text1"/>
          <w:sz w:val="28"/>
          <w:szCs w:val="28"/>
          <w:lang w:val="vi-VN"/>
        </w:rPr>
        <w:t xml:space="preserve"> </w:t>
      </w:r>
    </w:p>
    <w:p w14:paraId="1A1C8708" w14:textId="380E0F05" w:rsidR="003C39C7" w:rsidRPr="00C411F0" w:rsidRDefault="00F63D30" w:rsidP="00BE7B36">
      <w:pPr>
        <w:widowControl w:val="0"/>
        <w:spacing w:before="120" w:line="340" w:lineRule="exact"/>
        <w:ind w:firstLine="720"/>
        <w:jc w:val="both"/>
        <w:rPr>
          <w:i/>
          <w:color w:val="000000" w:themeColor="text1"/>
          <w:highlight w:val="white"/>
          <w:lang w:val="nl-NL"/>
        </w:rPr>
      </w:pPr>
      <w:r w:rsidRPr="00C411F0">
        <w:rPr>
          <w:i/>
          <w:color w:val="000000" w:themeColor="text1"/>
          <w:highlight w:val="white"/>
          <w:lang w:val="vi-VN"/>
        </w:rPr>
        <w:t xml:space="preserve">- </w:t>
      </w:r>
      <w:r w:rsidR="003C39C7" w:rsidRPr="00C411F0">
        <w:rPr>
          <w:i/>
          <w:color w:val="000000" w:themeColor="text1"/>
          <w:highlight w:val="white"/>
          <w:lang w:val="nl-NL"/>
        </w:rPr>
        <w:t>Tác động t</w:t>
      </w:r>
      <w:r w:rsidRPr="00C411F0">
        <w:rPr>
          <w:i/>
          <w:color w:val="000000" w:themeColor="text1"/>
          <w:highlight w:val="white"/>
          <w:lang w:val="nl-NL"/>
        </w:rPr>
        <w:t>iêu</w:t>
      </w:r>
      <w:r w:rsidR="003C39C7" w:rsidRPr="00C411F0">
        <w:rPr>
          <w:i/>
          <w:color w:val="000000" w:themeColor="text1"/>
          <w:highlight w:val="white"/>
          <w:lang w:val="nl-NL"/>
        </w:rPr>
        <w:t xml:space="preserve"> cực:</w:t>
      </w:r>
    </w:p>
    <w:p w14:paraId="5E5D4F93" w14:textId="6D826245" w:rsidR="00A92411" w:rsidRPr="00C411F0" w:rsidRDefault="00BA2A00"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w:t>
      </w:r>
      <w:r w:rsidR="00FF1B13" w:rsidRPr="00C411F0">
        <w:rPr>
          <w:bCs/>
          <w:color w:val="000000" w:themeColor="text1"/>
          <w:sz w:val="28"/>
          <w:szCs w:val="28"/>
          <w:lang w:val="vi-VN"/>
        </w:rPr>
        <w:t>Huy động nguồn vốn đầu tư tư nhân là vô cùng quan trọng để thực hiện mục tiêu chuyển đổi sang nền kinh tế các-bon thấp, bảo vệ môi trường, phát triển bền vững. Tuy nhiên, như đã phân tích trong phần bất cập, k</w:t>
      </w:r>
      <w:r w:rsidR="0016166F" w:rsidRPr="00C411F0">
        <w:rPr>
          <w:bCs/>
          <w:color w:val="000000" w:themeColor="text1"/>
          <w:sz w:val="28"/>
          <w:szCs w:val="28"/>
          <w:lang w:val="vi-VN"/>
        </w:rPr>
        <w:t xml:space="preserve">hi không có quy định </w:t>
      </w:r>
      <w:r w:rsidR="00FF1B13" w:rsidRPr="00C411F0">
        <w:rPr>
          <w:bCs/>
          <w:color w:val="000000" w:themeColor="text1"/>
          <w:sz w:val="28"/>
          <w:szCs w:val="28"/>
          <w:lang w:val="vi-VN"/>
        </w:rPr>
        <w:t xml:space="preserve">pháp lý </w:t>
      </w:r>
      <w:r w:rsidR="0016166F" w:rsidRPr="00C411F0">
        <w:rPr>
          <w:bCs/>
          <w:color w:val="000000" w:themeColor="text1"/>
          <w:sz w:val="28"/>
          <w:szCs w:val="28"/>
          <w:lang w:val="vi-VN"/>
        </w:rPr>
        <w:t>về tiêu chí môi trường đối với dự án cấp tín dụng xanh</w:t>
      </w:r>
      <w:r w:rsidR="00C35FC5" w:rsidRPr="00C411F0">
        <w:rPr>
          <w:bCs/>
          <w:color w:val="000000" w:themeColor="text1"/>
          <w:sz w:val="28"/>
          <w:szCs w:val="28"/>
          <w:lang w:val="vi-VN"/>
        </w:rPr>
        <w:t xml:space="preserve">, phát hành trái phiếu xanh - </w:t>
      </w:r>
      <w:r w:rsidR="00AA4CAF" w:rsidRPr="00C411F0">
        <w:rPr>
          <w:bCs/>
          <w:color w:val="000000" w:themeColor="text1"/>
          <w:sz w:val="28"/>
          <w:szCs w:val="28"/>
          <w:lang w:val="vi-VN"/>
        </w:rPr>
        <w:t xml:space="preserve">thiếu sự gắn kết </w:t>
      </w:r>
      <w:r w:rsidR="00C35FC5" w:rsidRPr="00C411F0">
        <w:rPr>
          <w:bCs/>
          <w:color w:val="000000" w:themeColor="text1"/>
          <w:sz w:val="28"/>
          <w:szCs w:val="28"/>
          <w:lang w:val="vi-VN"/>
        </w:rPr>
        <w:t>giữa các hoạt động tín dụng xanh, trái phiếu xanh với các mục tiêu môi trường,</w:t>
      </w:r>
      <w:r w:rsidR="0016166F" w:rsidRPr="00C411F0">
        <w:rPr>
          <w:bCs/>
          <w:color w:val="000000" w:themeColor="text1"/>
          <w:sz w:val="28"/>
          <w:szCs w:val="28"/>
          <w:lang w:val="vi-VN"/>
        </w:rPr>
        <w:t xml:space="preserve"> </w:t>
      </w:r>
      <w:r w:rsidR="00C24E23" w:rsidRPr="00C411F0">
        <w:rPr>
          <w:bCs/>
          <w:color w:val="000000" w:themeColor="text1"/>
          <w:sz w:val="28"/>
          <w:szCs w:val="28"/>
          <w:lang w:val="vi-VN"/>
        </w:rPr>
        <w:t xml:space="preserve">việc </w:t>
      </w:r>
      <w:r w:rsidR="00596AA5" w:rsidRPr="00C411F0">
        <w:rPr>
          <w:bCs/>
          <w:color w:val="000000" w:themeColor="text1"/>
          <w:sz w:val="28"/>
          <w:szCs w:val="28"/>
          <w:lang w:val="vi-VN"/>
        </w:rPr>
        <w:t xml:space="preserve">thẩm định, </w:t>
      </w:r>
      <w:r w:rsidR="00C24E23" w:rsidRPr="00C411F0">
        <w:rPr>
          <w:bCs/>
          <w:color w:val="000000" w:themeColor="text1"/>
          <w:sz w:val="28"/>
          <w:szCs w:val="28"/>
          <w:lang w:val="vi-VN"/>
        </w:rPr>
        <w:t xml:space="preserve">xác định tính xanh của dự án </w:t>
      </w:r>
      <w:r w:rsidR="00C35FC5" w:rsidRPr="00C411F0">
        <w:rPr>
          <w:bCs/>
          <w:color w:val="000000" w:themeColor="text1"/>
          <w:sz w:val="28"/>
          <w:szCs w:val="28"/>
          <w:lang w:val="vi-VN"/>
        </w:rPr>
        <w:t xml:space="preserve">khi </w:t>
      </w:r>
      <w:r w:rsidR="00C24E23" w:rsidRPr="00C411F0">
        <w:rPr>
          <w:bCs/>
          <w:color w:val="000000" w:themeColor="text1"/>
          <w:sz w:val="28"/>
          <w:szCs w:val="28"/>
          <w:lang w:val="vi-VN"/>
        </w:rPr>
        <w:t>cấp tín dụng xanh</w:t>
      </w:r>
      <w:r w:rsidR="00596AA5" w:rsidRPr="00C411F0">
        <w:rPr>
          <w:bCs/>
          <w:color w:val="000000" w:themeColor="text1"/>
          <w:sz w:val="28"/>
          <w:szCs w:val="28"/>
          <w:lang w:val="vi-VN"/>
        </w:rPr>
        <w:t>, phát hành trái phiếu xanh của TCTD và doanh nghiệp</w:t>
      </w:r>
      <w:r w:rsidR="00C24E23" w:rsidRPr="00C411F0">
        <w:rPr>
          <w:bCs/>
          <w:color w:val="000000" w:themeColor="text1"/>
          <w:sz w:val="28"/>
          <w:szCs w:val="28"/>
          <w:lang w:val="vi-VN"/>
        </w:rPr>
        <w:t xml:space="preserve"> hoàn toàn phụ thu</w:t>
      </w:r>
      <w:r w:rsidR="00596AA5" w:rsidRPr="00C411F0">
        <w:rPr>
          <w:bCs/>
          <w:color w:val="000000" w:themeColor="text1"/>
          <w:sz w:val="28"/>
          <w:szCs w:val="28"/>
          <w:lang w:val="vi-VN"/>
        </w:rPr>
        <w:t>ộc vào nhận thức, năng lực</w:t>
      </w:r>
      <w:r w:rsidR="00672A53" w:rsidRPr="00C411F0">
        <w:rPr>
          <w:bCs/>
          <w:color w:val="000000" w:themeColor="text1"/>
          <w:sz w:val="28"/>
          <w:szCs w:val="28"/>
          <w:lang w:val="vi-VN"/>
        </w:rPr>
        <w:t xml:space="preserve"> </w:t>
      </w:r>
      <w:r w:rsidR="00596AA5" w:rsidRPr="00C411F0">
        <w:rPr>
          <w:bCs/>
          <w:color w:val="000000" w:themeColor="text1"/>
          <w:sz w:val="28"/>
          <w:szCs w:val="28"/>
          <w:lang w:val="vi-VN"/>
        </w:rPr>
        <w:t>của TCTD, doanh nghiệp.</w:t>
      </w:r>
      <w:r w:rsidR="00AA4CAF" w:rsidRPr="00C411F0">
        <w:rPr>
          <w:bCs/>
          <w:color w:val="000000" w:themeColor="text1"/>
          <w:sz w:val="28"/>
          <w:szCs w:val="28"/>
          <w:lang w:val="vi-VN"/>
        </w:rPr>
        <w:t xml:space="preserve"> Dẫn đến dòng vốn đầu tư tư nhân, thông qua các công cụ tín dụng xanh, trái phiếu xanh </w:t>
      </w:r>
      <w:r w:rsidR="009C6E06" w:rsidRPr="00C411F0">
        <w:rPr>
          <w:bCs/>
          <w:color w:val="000000" w:themeColor="text1"/>
          <w:sz w:val="28"/>
          <w:szCs w:val="28"/>
          <w:lang w:val="vi-VN"/>
        </w:rPr>
        <w:t xml:space="preserve">nhiều khả năng </w:t>
      </w:r>
      <w:r w:rsidR="00AA4CAF" w:rsidRPr="00C411F0">
        <w:rPr>
          <w:bCs/>
          <w:color w:val="000000" w:themeColor="text1"/>
          <w:sz w:val="28"/>
          <w:szCs w:val="28"/>
          <w:lang w:val="vi-VN"/>
        </w:rPr>
        <w:t>không được định hướng một cách chính xác</w:t>
      </w:r>
      <w:r w:rsidR="00ED3095" w:rsidRPr="00C411F0">
        <w:rPr>
          <w:bCs/>
          <w:color w:val="000000" w:themeColor="text1"/>
          <w:sz w:val="28"/>
          <w:szCs w:val="28"/>
          <w:lang w:val="vi-VN"/>
        </w:rPr>
        <w:t xml:space="preserve"> để thực hiện các mục tiêu môi trường</w:t>
      </w:r>
      <w:r w:rsidR="00AA4CAF" w:rsidRPr="00C411F0">
        <w:rPr>
          <w:bCs/>
          <w:color w:val="000000" w:themeColor="text1"/>
          <w:sz w:val="28"/>
          <w:szCs w:val="28"/>
          <w:lang w:val="vi-VN"/>
        </w:rPr>
        <w:t xml:space="preserve">, </w:t>
      </w:r>
      <w:r w:rsidR="00C35FC5" w:rsidRPr="00C411F0">
        <w:rPr>
          <w:bCs/>
          <w:color w:val="000000" w:themeColor="text1"/>
          <w:sz w:val="28"/>
          <w:szCs w:val="28"/>
          <w:lang w:val="vi-VN"/>
        </w:rPr>
        <w:t xml:space="preserve">phân bố không </w:t>
      </w:r>
      <w:r w:rsidR="00AA4CAF" w:rsidRPr="00C411F0">
        <w:rPr>
          <w:bCs/>
          <w:color w:val="000000" w:themeColor="text1"/>
          <w:sz w:val="28"/>
          <w:szCs w:val="28"/>
          <w:lang w:val="vi-VN"/>
        </w:rPr>
        <w:t>hiệu quả</w:t>
      </w:r>
      <w:r w:rsidR="00C35FC5" w:rsidRPr="00C411F0">
        <w:rPr>
          <w:bCs/>
          <w:color w:val="000000" w:themeColor="text1"/>
          <w:sz w:val="28"/>
          <w:szCs w:val="28"/>
          <w:lang w:val="vi-VN"/>
        </w:rPr>
        <w:t xml:space="preserve">, thậm chí có trường hợp cấp tín dụng hoặc phát hành trái phiếu cho dự án chưa thực sự xanh, tiềm ẩn những yếu tố gây hại cho môi trường. </w:t>
      </w:r>
      <w:r w:rsidR="00ED3095" w:rsidRPr="00C411F0">
        <w:rPr>
          <w:bCs/>
          <w:color w:val="000000" w:themeColor="text1"/>
          <w:sz w:val="28"/>
          <w:szCs w:val="28"/>
          <w:lang w:val="vi-VN"/>
        </w:rPr>
        <w:t>Khi này, Nhà nước càng phải chịu những áp lực cao về ngân sách</w:t>
      </w:r>
      <w:r w:rsidR="00251D32" w:rsidRPr="00C411F0">
        <w:rPr>
          <w:bCs/>
          <w:color w:val="000000" w:themeColor="text1"/>
          <w:sz w:val="28"/>
          <w:szCs w:val="28"/>
          <w:lang w:val="vi-VN"/>
        </w:rPr>
        <w:t xml:space="preserve"> (chi đầu tư công)</w:t>
      </w:r>
      <w:r w:rsidR="00ED3095" w:rsidRPr="00C411F0">
        <w:rPr>
          <w:bCs/>
          <w:color w:val="000000" w:themeColor="text1"/>
          <w:sz w:val="28"/>
          <w:szCs w:val="28"/>
          <w:lang w:val="vi-VN"/>
        </w:rPr>
        <w:t xml:space="preserve"> để đáp ứng nhu cầu thực hiện các mục tiêu môi trường, phát triển bền vững</w:t>
      </w:r>
      <w:r w:rsidR="00CE5A2E" w:rsidRPr="00C411F0">
        <w:rPr>
          <w:bCs/>
          <w:color w:val="000000" w:themeColor="text1"/>
          <w:sz w:val="28"/>
          <w:szCs w:val="28"/>
          <w:lang w:val="vi-VN"/>
        </w:rPr>
        <w:t xml:space="preserve"> đã đặt ra</w:t>
      </w:r>
      <w:r w:rsidR="00ED3095" w:rsidRPr="00C411F0">
        <w:rPr>
          <w:bCs/>
          <w:color w:val="000000" w:themeColor="text1"/>
          <w:sz w:val="28"/>
          <w:szCs w:val="28"/>
          <w:lang w:val="vi-VN"/>
        </w:rPr>
        <w:t>, giải quyết các vấn đề suy thoái, ô nhiễm môi trường</w:t>
      </w:r>
      <w:r w:rsidR="00CE5A2E" w:rsidRPr="00C411F0">
        <w:rPr>
          <w:bCs/>
          <w:color w:val="000000" w:themeColor="text1"/>
          <w:sz w:val="28"/>
          <w:szCs w:val="28"/>
          <w:lang w:val="vi-VN"/>
        </w:rPr>
        <w:t xml:space="preserve"> đang tồn tại</w:t>
      </w:r>
      <w:r w:rsidR="00A92411" w:rsidRPr="00C411F0">
        <w:rPr>
          <w:bCs/>
          <w:color w:val="000000" w:themeColor="text1"/>
          <w:sz w:val="28"/>
          <w:szCs w:val="28"/>
          <w:lang w:val="vi-VN"/>
        </w:rPr>
        <w:t>.</w:t>
      </w:r>
    </w:p>
    <w:p w14:paraId="3E00F218" w14:textId="055BD45C" w:rsidR="00BF269A" w:rsidRPr="00C411F0" w:rsidRDefault="00BF269A"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Nhu cầu vốn để thực hiện các mục tiêu phát triển xanh và phát triển bền vững từ nay đến năm 2030 theo ước tính vào khoảng 360 tỷ USD, trong đó nguồn vốn từ khu vực tư nhân chiếm 50%. Trường hợp huy động </w:t>
      </w:r>
      <w:r w:rsidR="00C31374" w:rsidRPr="00C411F0">
        <w:rPr>
          <w:bCs/>
          <w:color w:val="000000" w:themeColor="text1"/>
          <w:sz w:val="28"/>
          <w:szCs w:val="28"/>
          <w:lang w:val="vi-VN"/>
        </w:rPr>
        <w:t xml:space="preserve">dòng vốn tư nhân không hiệu quả như phân tích trên (tạm tính chỉ huy động được 20%) thì Nhà nước sẽ phải bố trí từ ngân sách </w:t>
      </w:r>
      <w:r w:rsidR="001F2B96" w:rsidRPr="00C411F0">
        <w:rPr>
          <w:bCs/>
          <w:color w:val="000000" w:themeColor="text1"/>
          <w:sz w:val="28"/>
          <w:szCs w:val="28"/>
          <w:lang w:val="vi-VN"/>
        </w:rPr>
        <w:t xml:space="preserve">thêm </w:t>
      </w:r>
      <w:r w:rsidR="00C31374" w:rsidRPr="00C411F0">
        <w:rPr>
          <w:bCs/>
          <w:color w:val="000000" w:themeColor="text1"/>
          <w:sz w:val="28"/>
          <w:szCs w:val="28"/>
          <w:lang w:val="vi-VN"/>
        </w:rPr>
        <w:t xml:space="preserve">khoảng </w:t>
      </w:r>
      <w:r w:rsidR="00C31374" w:rsidRPr="00C411F0">
        <w:rPr>
          <w:b/>
          <w:i/>
          <w:iCs/>
          <w:color w:val="000000" w:themeColor="text1"/>
          <w:sz w:val="28"/>
          <w:szCs w:val="28"/>
          <w:lang w:val="vi-VN"/>
        </w:rPr>
        <w:t>23</w:t>
      </w:r>
      <w:r w:rsidR="001F2B96" w:rsidRPr="00C411F0">
        <w:rPr>
          <w:b/>
          <w:i/>
          <w:iCs/>
          <w:color w:val="000000" w:themeColor="text1"/>
          <w:sz w:val="28"/>
          <w:szCs w:val="28"/>
          <w:lang w:val="vi-VN"/>
        </w:rPr>
        <w:t>,6 nghìn tỷ đồng</w:t>
      </w:r>
      <w:r w:rsidR="001F2B96" w:rsidRPr="00C411F0">
        <w:rPr>
          <w:bCs/>
          <w:color w:val="000000" w:themeColor="text1"/>
          <w:sz w:val="28"/>
          <w:szCs w:val="28"/>
          <w:lang w:val="vi-VN"/>
        </w:rPr>
        <w:t xml:space="preserve"> </w:t>
      </w:r>
      <w:r w:rsidR="009E53C2" w:rsidRPr="00C411F0">
        <w:rPr>
          <w:bCs/>
          <w:color w:val="000000" w:themeColor="text1"/>
          <w:sz w:val="28"/>
          <w:szCs w:val="28"/>
          <w:lang w:val="vi-VN"/>
        </w:rPr>
        <w:t xml:space="preserve">(chiếm tỷ lệ khoảng 0,3% so với GDP cả nước năm 2020) </w:t>
      </w:r>
      <w:r w:rsidR="001F2B96" w:rsidRPr="00C411F0">
        <w:rPr>
          <w:bCs/>
          <w:color w:val="000000" w:themeColor="text1"/>
          <w:sz w:val="28"/>
          <w:szCs w:val="28"/>
          <w:lang w:val="vi-VN"/>
        </w:rPr>
        <w:t>để bảo đảm các mục tiêu phát triển xanh và phát triển bền vững đã đặt ra.</w:t>
      </w:r>
    </w:p>
    <w:p w14:paraId="29149C27" w14:textId="38470279" w:rsidR="008D1FD6" w:rsidRPr="00C411F0" w:rsidRDefault="00672A53"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w:t>
      </w:r>
      <w:r w:rsidR="00CE5A2E" w:rsidRPr="00C411F0">
        <w:rPr>
          <w:bCs/>
          <w:color w:val="000000" w:themeColor="text1"/>
          <w:sz w:val="28"/>
          <w:szCs w:val="28"/>
          <w:lang w:val="vi-VN"/>
        </w:rPr>
        <w:t xml:space="preserve">Việc không quy định rõ các tiêu chí môi trường, </w:t>
      </w:r>
      <w:r w:rsidR="00905622" w:rsidRPr="00C411F0">
        <w:rPr>
          <w:bCs/>
          <w:color w:val="000000" w:themeColor="text1"/>
          <w:sz w:val="28"/>
          <w:szCs w:val="28"/>
          <w:lang w:val="vi-VN"/>
        </w:rPr>
        <w:t>danh mục phân loại xanh nói riêng và chưa hoàn thiện hệ thống quy định pháp luật</w:t>
      </w:r>
      <w:r w:rsidR="008D1FD6" w:rsidRPr="00C411F0">
        <w:rPr>
          <w:bCs/>
          <w:color w:val="000000" w:themeColor="text1"/>
          <w:sz w:val="28"/>
          <w:szCs w:val="28"/>
          <w:lang w:val="vi-VN"/>
        </w:rPr>
        <w:t>, kỹ thuật</w:t>
      </w:r>
      <w:r w:rsidR="00905622" w:rsidRPr="00C411F0">
        <w:rPr>
          <w:bCs/>
          <w:color w:val="000000" w:themeColor="text1"/>
          <w:sz w:val="28"/>
          <w:szCs w:val="28"/>
          <w:lang w:val="vi-VN"/>
        </w:rPr>
        <w:t xml:space="preserve"> </w:t>
      </w:r>
      <w:r w:rsidR="008D1FD6" w:rsidRPr="00C411F0">
        <w:rPr>
          <w:bCs/>
          <w:color w:val="000000" w:themeColor="text1"/>
          <w:sz w:val="28"/>
          <w:szCs w:val="28"/>
          <w:lang w:val="vi-VN"/>
        </w:rPr>
        <w:t xml:space="preserve">đối với các </w:t>
      </w:r>
      <w:r w:rsidR="00905622" w:rsidRPr="00C411F0">
        <w:rPr>
          <w:bCs/>
          <w:color w:val="000000" w:themeColor="text1"/>
          <w:sz w:val="28"/>
          <w:szCs w:val="28"/>
          <w:lang w:val="vi-VN"/>
        </w:rPr>
        <w:t xml:space="preserve">chính sách tín dụng xanh, trái phiếu xanh </w:t>
      </w:r>
      <w:r w:rsidR="008D1FD6" w:rsidRPr="00C411F0">
        <w:rPr>
          <w:bCs/>
          <w:color w:val="000000" w:themeColor="text1"/>
          <w:sz w:val="28"/>
          <w:szCs w:val="28"/>
          <w:lang w:val="vi-VN"/>
        </w:rPr>
        <w:t xml:space="preserve">nói chung </w:t>
      </w:r>
      <w:r w:rsidR="00905622" w:rsidRPr="00C411F0">
        <w:rPr>
          <w:bCs/>
          <w:color w:val="000000" w:themeColor="text1"/>
          <w:sz w:val="28"/>
          <w:szCs w:val="28"/>
          <w:lang w:val="vi-VN"/>
        </w:rPr>
        <w:t xml:space="preserve">cũng </w:t>
      </w:r>
      <w:r w:rsidR="008D1FD6" w:rsidRPr="00C411F0">
        <w:rPr>
          <w:bCs/>
          <w:color w:val="000000" w:themeColor="text1"/>
          <w:sz w:val="28"/>
          <w:szCs w:val="28"/>
          <w:lang w:val="vi-VN"/>
        </w:rPr>
        <w:t xml:space="preserve">nhiều khả năng dẫn đến </w:t>
      </w:r>
      <w:r w:rsidR="00905622" w:rsidRPr="00C411F0">
        <w:rPr>
          <w:bCs/>
          <w:color w:val="000000" w:themeColor="text1"/>
          <w:sz w:val="28"/>
          <w:szCs w:val="28"/>
          <w:lang w:val="vi-VN"/>
        </w:rPr>
        <w:lastRenderedPageBreak/>
        <w:t xml:space="preserve">tâm lý đợi chờ quy định hoặc </w:t>
      </w:r>
      <w:r w:rsidR="008D1FD6" w:rsidRPr="00C411F0">
        <w:rPr>
          <w:bCs/>
          <w:color w:val="000000" w:themeColor="text1"/>
          <w:sz w:val="28"/>
          <w:szCs w:val="28"/>
          <w:lang w:val="vi-VN"/>
        </w:rPr>
        <w:t xml:space="preserve">giảm lòng tin, sự sẵn lòng tham gia của các bên liên quan đối với thị trường tín dụng xanh, trái phiếu xanh, bao gồm cả các nhà đầu tư nước ngoài với thị trường tài chính xanh Việt Nam, vô hình trung làm chậm nhịp phát triển, tăng trưởng của chính sách tín dụng xanh, trái phiếu xanh. Điều này cũng làm giảm nguồn lực, </w:t>
      </w:r>
      <w:r w:rsidR="008D1FD6" w:rsidRPr="009605FD">
        <w:rPr>
          <w:bCs/>
          <w:color w:val="000000" w:themeColor="text1"/>
          <w:sz w:val="28"/>
          <w:szCs w:val="28"/>
          <w:lang w:val="vi-VN"/>
        </w:rPr>
        <w:t>nguồn vốn ngoài ngân sách nhà nước vào đầu tư cho các hoạt động BVMT</w:t>
      </w:r>
      <w:r w:rsidR="008D1FD6" w:rsidRPr="00C411F0">
        <w:rPr>
          <w:bCs/>
          <w:color w:val="000000" w:themeColor="text1"/>
          <w:sz w:val="28"/>
          <w:szCs w:val="28"/>
          <w:lang w:val="vi-VN"/>
        </w:rPr>
        <w:t xml:space="preserve">, phái triển bền vững. </w:t>
      </w:r>
    </w:p>
    <w:p w14:paraId="2507049D" w14:textId="1F48898C" w:rsidR="00A92411" w:rsidRPr="00C411F0" w:rsidRDefault="003C39C7" w:rsidP="00BE7B36">
      <w:pPr>
        <w:pStyle w:val="NormalWeb"/>
        <w:widowControl w:val="0"/>
        <w:shd w:val="clear" w:color="auto" w:fill="FFFFFF"/>
        <w:spacing w:before="120" w:beforeAutospacing="0" w:after="0" w:afterAutospacing="0" w:line="340" w:lineRule="exact"/>
        <w:ind w:firstLine="720"/>
        <w:rPr>
          <w:color w:val="000000" w:themeColor="text1"/>
          <w:sz w:val="28"/>
          <w:szCs w:val="28"/>
          <w:lang w:val="vi-VN"/>
        </w:rPr>
      </w:pPr>
      <w:r w:rsidRPr="00C411F0">
        <w:rPr>
          <w:bCs/>
          <w:color w:val="000000" w:themeColor="text1"/>
          <w:sz w:val="28"/>
          <w:szCs w:val="28"/>
          <w:lang w:val="vi-VN"/>
        </w:rPr>
        <w:t>+ Việc</w:t>
      </w:r>
      <w:r w:rsidR="00A92411" w:rsidRPr="00C411F0">
        <w:rPr>
          <w:bCs/>
          <w:color w:val="000000" w:themeColor="text1"/>
          <w:sz w:val="28"/>
          <w:szCs w:val="28"/>
          <w:lang w:val="vi-VN"/>
        </w:rPr>
        <w:t xml:space="preserve"> chưa</w:t>
      </w:r>
      <w:r w:rsidRPr="00C411F0">
        <w:rPr>
          <w:bCs/>
          <w:color w:val="000000" w:themeColor="text1"/>
          <w:sz w:val="28"/>
          <w:szCs w:val="28"/>
          <w:lang w:val="vi-VN"/>
        </w:rPr>
        <w:t xml:space="preserve"> quy định </w:t>
      </w:r>
      <w:r w:rsidR="00A92411" w:rsidRPr="00C411F0">
        <w:rPr>
          <w:bCs/>
          <w:color w:val="000000" w:themeColor="text1"/>
          <w:sz w:val="28"/>
          <w:szCs w:val="28"/>
          <w:lang w:val="vi-VN"/>
        </w:rPr>
        <w:t>rõ ràng tiêu chí môi trường, danh mục dự án phân loại xanh như hiện nay cũng đang gây ra những khó khăn trong công tác thống kê</w:t>
      </w:r>
      <w:r w:rsidR="00A92411" w:rsidRPr="009605FD">
        <w:rPr>
          <w:color w:val="000000" w:themeColor="text1"/>
          <w:sz w:val="28"/>
          <w:szCs w:val="28"/>
          <w:lang w:val="vi-VN"/>
        </w:rPr>
        <w:t xml:space="preserve">, theo dõi, đánh giá và điều hành chính sách về cấp tín dụng xanh, phát hành trái phiếu xanh. </w:t>
      </w:r>
      <w:r w:rsidR="00251D32" w:rsidRPr="009605FD">
        <w:rPr>
          <w:color w:val="000000" w:themeColor="text1"/>
          <w:sz w:val="28"/>
          <w:szCs w:val="28"/>
          <w:lang w:val="vi-VN"/>
        </w:rPr>
        <w:t>Các</w:t>
      </w:r>
      <w:r w:rsidR="00251D32" w:rsidRPr="00C411F0">
        <w:rPr>
          <w:color w:val="000000" w:themeColor="text1"/>
          <w:sz w:val="28"/>
          <w:szCs w:val="28"/>
          <w:lang w:val="vi-VN"/>
        </w:rPr>
        <w:t xml:space="preserve"> cơ quan quản lý nhà nước sẽ mất nhiều </w:t>
      </w:r>
      <w:r w:rsidR="00D349A1" w:rsidRPr="00C411F0">
        <w:rPr>
          <w:color w:val="000000" w:themeColor="text1"/>
          <w:sz w:val="28"/>
          <w:szCs w:val="28"/>
          <w:lang w:val="vi-VN"/>
        </w:rPr>
        <w:t xml:space="preserve">thời gian, </w:t>
      </w:r>
      <w:r w:rsidR="00251D32" w:rsidRPr="00C411F0">
        <w:rPr>
          <w:color w:val="000000" w:themeColor="text1"/>
          <w:sz w:val="28"/>
          <w:szCs w:val="28"/>
          <w:lang w:val="vi-VN"/>
        </w:rPr>
        <w:t>công sức</w:t>
      </w:r>
      <w:r w:rsidR="00D349A1" w:rsidRPr="00C411F0">
        <w:rPr>
          <w:color w:val="000000" w:themeColor="text1"/>
          <w:sz w:val="28"/>
          <w:szCs w:val="28"/>
          <w:lang w:val="vi-VN"/>
        </w:rPr>
        <w:t xml:space="preserve"> hơn</w:t>
      </w:r>
      <w:r w:rsidR="00251D32" w:rsidRPr="00C411F0">
        <w:rPr>
          <w:color w:val="000000" w:themeColor="text1"/>
          <w:sz w:val="28"/>
          <w:szCs w:val="28"/>
          <w:lang w:val="vi-VN"/>
        </w:rPr>
        <w:t>,</w:t>
      </w:r>
      <w:r w:rsidR="00D349A1" w:rsidRPr="00C411F0">
        <w:rPr>
          <w:color w:val="000000" w:themeColor="text1"/>
          <w:sz w:val="28"/>
          <w:szCs w:val="28"/>
          <w:lang w:val="vi-VN"/>
        </w:rPr>
        <w:t xml:space="preserve"> phải</w:t>
      </w:r>
      <w:r w:rsidR="00251D32" w:rsidRPr="00C411F0">
        <w:rPr>
          <w:color w:val="000000" w:themeColor="text1"/>
          <w:sz w:val="28"/>
          <w:szCs w:val="28"/>
          <w:lang w:val="vi-VN"/>
        </w:rPr>
        <w:t xml:space="preserve"> </w:t>
      </w:r>
      <w:r w:rsidR="00D349A1" w:rsidRPr="00C411F0">
        <w:rPr>
          <w:color w:val="000000" w:themeColor="text1"/>
          <w:sz w:val="28"/>
          <w:szCs w:val="28"/>
          <w:lang w:val="vi-VN"/>
        </w:rPr>
        <w:t xml:space="preserve">tăng </w:t>
      </w:r>
      <w:r w:rsidR="00251D32" w:rsidRPr="00C411F0">
        <w:rPr>
          <w:color w:val="000000" w:themeColor="text1"/>
          <w:sz w:val="28"/>
          <w:szCs w:val="28"/>
          <w:lang w:val="vi-VN"/>
        </w:rPr>
        <w:t>chi phí</w:t>
      </w:r>
      <w:r w:rsidR="00D349A1" w:rsidRPr="00C411F0">
        <w:rPr>
          <w:color w:val="000000" w:themeColor="text1"/>
          <w:sz w:val="28"/>
          <w:szCs w:val="28"/>
          <w:lang w:val="vi-VN"/>
        </w:rPr>
        <w:t xml:space="preserve"> vận hành hoạt động của bộ máy </w:t>
      </w:r>
      <w:r w:rsidR="00251D32" w:rsidRPr="00C411F0">
        <w:rPr>
          <w:color w:val="000000" w:themeColor="text1"/>
          <w:sz w:val="28"/>
          <w:szCs w:val="28"/>
          <w:lang w:val="vi-VN"/>
        </w:rPr>
        <w:t xml:space="preserve">để </w:t>
      </w:r>
      <w:r w:rsidR="008B314F" w:rsidRPr="00C411F0">
        <w:rPr>
          <w:color w:val="000000" w:themeColor="text1"/>
          <w:sz w:val="28"/>
          <w:szCs w:val="28"/>
          <w:lang w:val="vi-VN"/>
        </w:rPr>
        <w:t xml:space="preserve">tổng hợp, </w:t>
      </w:r>
      <w:r w:rsidR="00251D32" w:rsidRPr="00C411F0">
        <w:rPr>
          <w:color w:val="000000" w:themeColor="text1"/>
          <w:sz w:val="28"/>
          <w:szCs w:val="28"/>
          <w:lang w:val="vi-VN"/>
        </w:rPr>
        <w:t xml:space="preserve">đồng </w:t>
      </w:r>
      <w:r w:rsidR="008B314F" w:rsidRPr="00C411F0">
        <w:rPr>
          <w:color w:val="000000" w:themeColor="text1"/>
          <w:sz w:val="28"/>
          <w:szCs w:val="28"/>
          <w:lang w:val="vi-VN"/>
        </w:rPr>
        <w:t>bộ số liệu, phân tích, đánh giá hiệu quả sử dụng các nguồn vốn đối với các mục tiêu môi trường cụ thể</w:t>
      </w:r>
      <w:r w:rsidR="001672B9" w:rsidRPr="00C411F0">
        <w:rPr>
          <w:color w:val="000000" w:themeColor="text1"/>
          <w:sz w:val="28"/>
          <w:szCs w:val="28"/>
          <w:lang w:val="vi-VN"/>
        </w:rPr>
        <w:t>. Đồng thời, việc</w:t>
      </w:r>
      <w:r w:rsidR="008B314F" w:rsidRPr="00C411F0">
        <w:rPr>
          <w:color w:val="000000" w:themeColor="text1"/>
          <w:sz w:val="28"/>
          <w:szCs w:val="28"/>
          <w:lang w:val="vi-VN"/>
        </w:rPr>
        <w:t xml:space="preserve"> </w:t>
      </w:r>
      <w:r w:rsidR="001672B9" w:rsidRPr="00C411F0">
        <w:rPr>
          <w:color w:val="000000" w:themeColor="text1"/>
          <w:sz w:val="28"/>
          <w:szCs w:val="28"/>
          <w:lang w:val="vi-VN"/>
        </w:rPr>
        <w:t xml:space="preserve">không kịp thời có </w:t>
      </w:r>
      <w:r w:rsidR="008B314F" w:rsidRPr="00C411F0">
        <w:rPr>
          <w:color w:val="000000" w:themeColor="text1"/>
          <w:sz w:val="28"/>
          <w:szCs w:val="28"/>
          <w:lang w:val="vi-VN"/>
        </w:rPr>
        <w:t>các chính sách điều hành</w:t>
      </w:r>
      <w:r w:rsidR="001672B9" w:rsidRPr="00C411F0">
        <w:rPr>
          <w:color w:val="000000" w:themeColor="text1"/>
          <w:sz w:val="28"/>
          <w:szCs w:val="28"/>
          <w:lang w:val="vi-VN"/>
        </w:rPr>
        <w:t xml:space="preserve"> phù hợp khi cần thiết</w:t>
      </w:r>
      <w:r w:rsidR="008B314F" w:rsidRPr="00C411F0">
        <w:rPr>
          <w:color w:val="000000" w:themeColor="text1"/>
          <w:sz w:val="28"/>
          <w:szCs w:val="28"/>
          <w:lang w:val="vi-VN"/>
        </w:rPr>
        <w:t xml:space="preserve">, phân bổ nguồn vốn </w:t>
      </w:r>
      <w:r w:rsidR="001672B9" w:rsidRPr="00C411F0">
        <w:rPr>
          <w:color w:val="000000" w:themeColor="text1"/>
          <w:sz w:val="28"/>
          <w:szCs w:val="28"/>
          <w:lang w:val="vi-VN"/>
        </w:rPr>
        <w:t xml:space="preserve">chồng chéo, không hiệu quả cho các lĩnh vực do thiếu thông tin, cơ sở dữ liệu sẽ </w:t>
      </w:r>
      <w:r w:rsidR="006453B6" w:rsidRPr="00C411F0">
        <w:rPr>
          <w:color w:val="000000" w:themeColor="text1"/>
          <w:sz w:val="28"/>
          <w:szCs w:val="28"/>
          <w:lang w:val="vi-VN"/>
        </w:rPr>
        <w:t xml:space="preserve">gián tiếp </w:t>
      </w:r>
      <w:r w:rsidR="001672B9" w:rsidRPr="00C411F0">
        <w:rPr>
          <w:color w:val="000000" w:themeColor="text1"/>
          <w:sz w:val="28"/>
          <w:szCs w:val="28"/>
          <w:lang w:val="vi-VN"/>
        </w:rPr>
        <w:t xml:space="preserve">dẫn đến những </w:t>
      </w:r>
      <w:r w:rsidR="006453B6" w:rsidRPr="00C411F0">
        <w:rPr>
          <w:color w:val="000000" w:themeColor="text1"/>
          <w:sz w:val="28"/>
          <w:szCs w:val="28"/>
          <w:lang w:val="vi-VN"/>
        </w:rPr>
        <w:t>thất bại trong chính sách đầu tư công,</w:t>
      </w:r>
      <w:r w:rsidR="00897666" w:rsidRPr="00C411F0">
        <w:rPr>
          <w:color w:val="000000" w:themeColor="text1"/>
          <w:sz w:val="28"/>
          <w:szCs w:val="28"/>
          <w:lang w:val="vi-VN"/>
        </w:rPr>
        <w:t xml:space="preserve"> rủi ro</w:t>
      </w:r>
      <w:r w:rsidR="006453B6" w:rsidRPr="00C411F0">
        <w:rPr>
          <w:color w:val="000000" w:themeColor="text1"/>
          <w:sz w:val="28"/>
          <w:szCs w:val="28"/>
          <w:lang w:val="vi-VN"/>
        </w:rPr>
        <w:t xml:space="preserve"> gây </w:t>
      </w:r>
      <w:r w:rsidR="001672B9" w:rsidRPr="00C411F0">
        <w:rPr>
          <w:color w:val="000000" w:themeColor="text1"/>
          <w:sz w:val="28"/>
          <w:szCs w:val="28"/>
          <w:lang w:val="vi-VN"/>
        </w:rPr>
        <w:t>thiệt hại kinh tế lớn cho Nhà nước.</w:t>
      </w:r>
    </w:p>
    <w:p w14:paraId="12A3EC77" w14:textId="0C1C257E" w:rsidR="00897666" w:rsidRPr="00C411F0" w:rsidRDefault="00897666" w:rsidP="00BE7B36">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Đối với doanh nghiệp:</w:t>
      </w:r>
    </w:p>
    <w:p w14:paraId="35B33B61" w14:textId="05B47D44" w:rsidR="00897666" w:rsidRPr="00C411F0" w:rsidRDefault="009D4BDB" w:rsidP="00BE7B36">
      <w:pPr>
        <w:widowControl w:val="0"/>
        <w:spacing w:before="120" w:line="340" w:lineRule="exact"/>
        <w:ind w:firstLine="720"/>
        <w:jc w:val="both"/>
        <w:rPr>
          <w:i/>
          <w:color w:val="000000" w:themeColor="text1"/>
          <w:highlight w:val="white"/>
          <w:lang w:val="nl-NL"/>
        </w:rPr>
      </w:pPr>
      <w:r w:rsidRPr="00C411F0">
        <w:rPr>
          <w:i/>
          <w:color w:val="000000" w:themeColor="text1"/>
          <w:highlight w:val="white"/>
          <w:lang w:val="vi-VN"/>
        </w:rPr>
        <w:t xml:space="preserve">- </w:t>
      </w:r>
      <w:r w:rsidR="00897666" w:rsidRPr="00C411F0">
        <w:rPr>
          <w:i/>
          <w:color w:val="000000" w:themeColor="text1"/>
          <w:highlight w:val="white"/>
          <w:lang w:val="nl-NL"/>
        </w:rPr>
        <w:t xml:space="preserve">Tác động </w:t>
      </w:r>
      <w:r w:rsidRPr="00C411F0">
        <w:rPr>
          <w:i/>
          <w:color w:val="000000" w:themeColor="text1"/>
          <w:highlight w:val="white"/>
          <w:lang w:val="nl-NL"/>
        </w:rPr>
        <w:t>tích</w:t>
      </w:r>
      <w:r w:rsidRPr="00C411F0">
        <w:rPr>
          <w:i/>
          <w:color w:val="000000" w:themeColor="text1"/>
          <w:highlight w:val="white"/>
          <w:lang w:val="vi-VN"/>
        </w:rPr>
        <w:t xml:space="preserve"> </w:t>
      </w:r>
      <w:r w:rsidR="00897666" w:rsidRPr="00C411F0">
        <w:rPr>
          <w:i/>
          <w:color w:val="000000" w:themeColor="text1"/>
          <w:highlight w:val="white"/>
          <w:lang w:val="nl-NL"/>
        </w:rPr>
        <w:t>cực:</w:t>
      </w:r>
    </w:p>
    <w:p w14:paraId="49C22A21" w14:textId="77777777" w:rsidR="00CC5A0A" w:rsidRPr="00C411F0" w:rsidRDefault="00897666"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i/>
          <w:iCs/>
          <w:color w:val="000000" w:themeColor="text1"/>
          <w:sz w:val="28"/>
          <w:szCs w:val="28"/>
          <w:lang w:val="nl-NL"/>
        </w:rPr>
        <w:t>+ Đối với các TCTD</w:t>
      </w:r>
      <w:r w:rsidRPr="00C411F0">
        <w:rPr>
          <w:bCs/>
          <w:i/>
          <w:iCs/>
          <w:color w:val="000000" w:themeColor="text1"/>
          <w:sz w:val="28"/>
          <w:szCs w:val="28"/>
          <w:lang w:val="vi-VN"/>
        </w:rPr>
        <w:t xml:space="preserve"> đang thực hiện cấp tín dụng xanh</w:t>
      </w:r>
      <w:r w:rsidRPr="009605FD">
        <w:rPr>
          <w:bCs/>
          <w:i/>
          <w:iCs/>
          <w:color w:val="000000" w:themeColor="text1"/>
          <w:sz w:val="28"/>
          <w:szCs w:val="28"/>
          <w:lang w:val="nl-NL"/>
        </w:rPr>
        <w:t>:</w:t>
      </w:r>
      <w:r w:rsidRPr="00C411F0">
        <w:rPr>
          <w:bCs/>
          <w:i/>
          <w:iCs/>
          <w:color w:val="000000" w:themeColor="text1"/>
          <w:sz w:val="28"/>
          <w:szCs w:val="28"/>
          <w:lang w:val="vi-VN"/>
        </w:rPr>
        <w:t xml:space="preserve"> </w:t>
      </w:r>
      <w:r w:rsidR="008314B1" w:rsidRPr="00C411F0">
        <w:rPr>
          <w:bCs/>
          <w:color w:val="000000" w:themeColor="text1"/>
          <w:sz w:val="28"/>
          <w:szCs w:val="28"/>
          <w:lang w:val="vi-VN"/>
        </w:rPr>
        <w:t>Tính đến cuối tháng 12/2020, trên cả nước có 38/46 ngân hàng thương mại và 11/38 chi nhánh ngân hàng nước ngoài triển khai hoạt động cấp tín dụng xanh</w:t>
      </w:r>
      <w:r w:rsidR="008314B1" w:rsidRPr="00C411F0">
        <w:rPr>
          <w:rStyle w:val="FootnoteReference"/>
          <w:bCs/>
          <w:color w:val="000000" w:themeColor="text1"/>
          <w:sz w:val="28"/>
          <w:szCs w:val="28"/>
          <w:lang w:val="vi-VN"/>
        </w:rPr>
        <w:footnoteReference w:id="9"/>
      </w:r>
      <w:r w:rsidR="008314B1" w:rsidRPr="00C411F0">
        <w:rPr>
          <w:bCs/>
          <w:color w:val="000000" w:themeColor="text1"/>
          <w:sz w:val="28"/>
          <w:szCs w:val="28"/>
          <w:lang w:val="vi-VN"/>
        </w:rPr>
        <w:t xml:space="preserve">. </w:t>
      </w:r>
      <w:r w:rsidRPr="00C411F0">
        <w:rPr>
          <w:bCs/>
          <w:color w:val="000000" w:themeColor="text1"/>
          <w:sz w:val="28"/>
          <w:szCs w:val="28"/>
          <w:lang w:val="vi-VN"/>
        </w:rPr>
        <w:t>Hầu hết các TCTD hiện nay đang thực hiện</w:t>
      </w:r>
      <w:r w:rsidR="00CB2814" w:rsidRPr="00C411F0">
        <w:rPr>
          <w:bCs/>
          <w:color w:val="000000" w:themeColor="text1"/>
          <w:sz w:val="28"/>
          <w:szCs w:val="28"/>
          <w:lang w:val="vi-VN"/>
        </w:rPr>
        <w:t xml:space="preserve"> việc</w:t>
      </w:r>
      <w:r w:rsidRPr="00C411F0">
        <w:rPr>
          <w:bCs/>
          <w:color w:val="000000" w:themeColor="text1"/>
          <w:sz w:val="28"/>
          <w:szCs w:val="28"/>
          <w:lang w:val="vi-VN"/>
        </w:rPr>
        <w:t xml:space="preserve"> cấp</w:t>
      </w:r>
      <w:r w:rsidR="00CB2814" w:rsidRPr="00C411F0">
        <w:rPr>
          <w:bCs/>
          <w:color w:val="000000" w:themeColor="text1"/>
          <w:sz w:val="28"/>
          <w:szCs w:val="28"/>
          <w:lang w:val="vi-VN"/>
        </w:rPr>
        <w:t>, thống kê tình hình cấp</w:t>
      </w:r>
      <w:r w:rsidRPr="00C411F0">
        <w:rPr>
          <w:bCs/>
          <w:color w:val="000000" w:themeColor="text1"/>
          <w:sz w:val="28"/>
          <w:szCs w:val="28"/>
          <w:lang w:val="vi-VN"/>
        </w:rPr>
        <w:t xml:space="preserve"> tín dụng xanh theo hướng dẫn của NHNN và các Nhà tài trợ quốc tế uỷ thác/đầu tư vốn (nếu có)</w:t>
      </w:r>
      <w:r w:rsidR="000F6B0B" w:rsidRPr="00C411F0">
        <w:rPr>
          <w:bCs/>
          <w:color w:val="000000" w:themeColor="text1"/>
          <w:sz w:val="28"/>
          <w:szCs w:val="28"/>
          <w:lang w:val="vi-VN"/>
        </w:rPr>
        <w:t>.</w:t>
      </w:r>
      <w:r w:rsidR="005E189E" w:rsidRPr="00C411F0">
        <w:rPr>
          <w:bCs/>
          <w:color w:val="000000" w:themeColor="text1"/>
          <w:sz w:val="28"/>
          <w:szCs w:val="28"/>
          <w:lang w:val="vi-VN"/>
        </w:rPr>
        <w:t xml:space="preserve"> </w:t>
      </w:r>
      <w:r w:rsidR="000F6B0B" w:rsidRPr="00C411F0">
        <w:rPr>
          <w:bCs/>
          <w:color w:val="000000" w:themeColor="text1"/>
          <w:sz w:val="28"/>
          <w:szCs w:val="28"/>
          <w:lang w:val="vi-VN"/>
        </w:rPr>
        <w:t>Nhiều</w:t>
      </w:r>
      <w:r w:rsidR="005E189E" w:rsidRPr="00C411F0">
        <w:rPr>
          <w:bCs/>
          <w:color w:val="000000" w:themeColor="text1"/>
          <w:sz w:val="28"/>
          <w:szCs w:val="28"/>
          <w:lang w:val="vi-VN"/>
        </w:rPr>
        <w:t xml:space="preserve"> TCTD đã </w:t>
      </w:r>
      <w:r w:rsidR="000F6B0B" w:rsidRPr="00C411F0">
        <w:rPr>
          <w:bCs/>
          <w:color w:val="000000" w:themeColor="text1"/>
          <w:sz w:val="28"/>
          <w:szCs w:val="28"/>
          <w:lang w:val="vi-VN"/>
        </w:rPr>
        <w:t>xây dựng, ban hành các hướng dẫn, quy định nội bộ về quản lý rủi ro môi trường</w:t>
      </w:r>
      <w:r w:rsidR="00E15DC8" w:rsidRPr="00C411F0">
        <w:rPr>
          <w:bCs/>
          <w:color w:val="000000" w:themeColor="text1"/>
          <w:sz w:val="28"/>
          <w:szCs w:val="28"/>
          <w:lang w:val="vi-VN"/>
        </w:rPr>
        <w:t>-</w:t>
      </w:r>
      <w:r w:rsidR="000F6B0B" w:rsidRPr="00C411F0">
        <w:rPr>
          <w:bCs/>
          <w:color w:val="000000" w:themeColor="text1"/>
          <w:sz w:val="28"/>
          <w:szCs w:val="28"/>
          <w:lang w:val="vi-VN"/>
        </w:rPr>
        <w:t>xã hội trong hoạt động cấp tín dụng</w:t>
      </w:r>
      <w:r w:rsidR="000F6B0B" w:rsidRPr="00C411F0">
        <w:rPr>
          <w:rStyle w:val="FootnoteReference"/>
          <w:bCs/>
          <w:color w:val="000000" w:themeColor="text1"/>
          <w:sz w:val="28"/>
          <w:szCs w:val="28"/>
          <w:lang w:val="vi-VN"/>
        </w:rPr>
        <w:footnoteReference w:id="10"/>
      </w:r>
      <w:r w:rsidR="000F6B0B" w:rsidRPr="00C411F0">
        <w:rPr>
          <w:bCs/>
          <w:color w:val="000000" w:themeColor="text1"/>
          <w:sz w:val="28"/>
          <w:szCs w:val="28"/>
          <w:lang w:val="vi-VN"/>
        </w:rPr>
        <w:t>; một số TCTD đã thành lập bộ phận chuyên trách</w:t>
      </w:r>
      <w:r w:rsidR="00017017" w:rsidRPr="00C411F0">
        <w:rPr>
          <w:bCs/>
          <w:color w:val="000000" w:themeColor="text1"/>
          <w:sz w:val="28"/>
          <w:szCs w:val="28"/>
          <w:lang w:val="vi-VN"/>
        </w:rPr>
        <w:t xml:space="preserve"> để quản lý rủi ro môi trường, xã hội</w:t>
      </w:r>
      <w:r w:rsidR="004A5B47" w:rsidRPr="00C411F0">
        <w:rPr>
          <w:rStyle w:val="FootnoteReference"/>
          <w:bCs/>
          <w:color w:val="000000" w:themeColor="text1"/>
          <w:sz w:val="28"/>
          <w:szCs w:val="28"/>
          <w:lang w:val="vi-VN"/>
        </w:rPr>
        <w:footnoteReference w:id="11"/>
      </w:r>
      <w:r w:rsidR="00E15DC8" w:rsidRPr="00C411F0">
        <w:rPr>
          <w:bCs/>
          <w:color w:val="000000" w:themeColor="text1"/>
          <w:sz w:val="28"/>
          <w:szCs w:val="28"/>
          <w:lang w:val="vi-VN"/>
        </w:rPr>
        <w:t xml:space="preserve">. </w:t>
      </w:r>
    </w:p>
    <w:p w14:paraId="5C06D7FF" w14:textId="4781A929" w:rsidR="00CB2814" w:rsidRPr="00C411F0" w:rsidRDefault="004A5B47"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Như vậy, mặc dù chưa có các quy định cụ thể về tiêu chí môi trường đối với các dự án xanh nhưng với sự hướng dẫn, hỗ trợ của NHNN và các nhà tài trợ quốc tế, hoạt động cấp tín dụng xanh đã bước đầu </w:t>
      </w:r>
      <w:r w:rsidR="00CB2814" w:rsidRPr="00C411F0">
        <w:rPr>
          <w:bCs/>
          <w:color w:val="000000" w:themeColor="text1"/>
          <w:sz w:val="28"/>
          <w:szCs w:val="28"/>
          <w:lang w:val="vi-VN"/>
        </w:rPr>
        <w:t>được các TCTD triển khai và đạt được những kết quả nhất định</w:t>
      </w:r>
      <w:r w:rsidR="009F5928" w:rsidRPr="00C411F0">
        <w:rPr>
          <w:bCs/>
          <w:color w:val="000000" w:themeColor="text1"/>
          <w:sz w:val="28"/>
          <w:szCs w:val="28"/>
          <w:lang w:val="vi-VN"/>
        </w:rPr>
        <w:t xml:space="preserve">, bao gồm cả tăng cường năng lực thẩm định các </w:t>
      </w:r>
      <w:r w:rsidR="009F5928" w:rsidRPr="00C411F0">
        <w:rPr>
          <w:bCs/>
          <w:color w:val="000000" w:themeColor="text1"/>
          <w:sz w:val="28"/>
          <w:szCs w:val="28"/>
          <w:lang w:val="vi-VN"/>
        </w:rPr>
        <w:lastRenderedPageBreak/>
        <w:t>dự án để cấp tín dụng xanh.</w:t>
      </w:r>
      <w:r w:rsidR="00CC5A0A" w:rsidRPr="00C411F0">
        <w:rPr>
          <w:bCs/>
          <w:color w:val="000000" w:themeColor="text1"/>
          <w:sz w:val="28"/>
          <w:szCs w:val="28"/>
          <w:lang w:val="vi-VN"/>
        </w:rPr>
        <w:t xml:space="preserve"> </w:t>
      </w:r>
      <w:r w:rsidR="009F5928" w:rsidRPr="00C411F0">
        <w:rPr>
          <w:bCs/>
          <w:color w:val="000000" w:themeColor="text1"/>
          <w:sz w:val="28"/>
          <w:szCs w:val="28"/>
          <w:lang w:val="vi-VN"/>
        </w:rPr>
        <w:t xml:space="preserve">Trong trường hợp giữ nguyên hiện trạng, </w:t>
      </w:r>
      <w:r w:rsidR="00CC5A0A" w:rsidRPr="00C411F0">
        <w:rPr>
          <w:bCs/>
          <w:color w:val="000000" w:themeColor="text1"/>
          <w:sz w:val="28"/>
          <w:szCs w:val="28"/>
          <w:lang w:val="vi-VN"/>
        </w:rPr>
        <w:t xml:space="preserve">không ban hành </w:t>
      </w:r>
      <w:r w:rsidR="009F5928" w:rsidRPr="00C411F0">
        <w:rPr>
          <w:bCs/>
          <w:color w:val="000000" w:themeColor="text1"/>
          <w:sz w:val="28"/>
          <w:szCs w:val="28"/>
          <w:lang w:val="vi-VN"/>
        </w:rPr>
        <w:t>quy định về tiêu chí môi trường</w:t>
      </w:r>
      <w:r w:rsidR="00CC5A0A" w:rsidRPr="00C411F0">
        <w:rPr>
          <w:bCs/>
          <w:color w:val="000000" w:themeColor="text1"/>
          <w:sz w:val="28"/>
          <w:szCs w:val="28"/>
          <w:lang w:val="vi-VN"/>
        </w:rPr>
        <w:t xml:space="preserve"> đối với các dự án được cấp tín dụng xanh, các TCTD sẽ không bị mất thời gian, công sức, chi phí để cập nhật, đào tạo nguồn lực tuân thủ các quy định mới</w:t>
      </w:r>
      <w:r w:rsidR="008C4E9D" w:rsidRPr="00C411F0">
        <w:rPr>
          <w:bCs/>
          <w:color w:val="000000" w:themeColor="text1"/>
          <w:sz w:val="28"/>
          <w:szCs w:val="28"/>
          <w:lang w:val="vi-VN"/>
        </w:rPr>
        <w:t>.</w:t>
      </w:r>
    </w:p>
    <w:p w14:paraId="6A216414" w14:textId="08AF49E8" w:rsidR="006F5798" w:rsidRPr="00C411F0" w:rsidRDefault="008C4E9D" w:rsidP="00BE7B36">
      <w:pPr>
        <w:pStyle w:val="NormalWeb"/>
        <w:widowControl w:val="0"/>
        <w:shd w:val="clear" w:color="auto" w:fill="FFFFFF"/>
        <w:spacing w:before="120" w:beforeAutospacing="0" w:after="0" w:afterAutospacing="0" w:line="340" w:lineRule="exact"/>
        <w:ind w:firstLine="720"/>
        <w:rPr>
          <w:color w:val="000000" w:themeColor="text1"/>
          <w:spacing w:val="-1"/>
          <w:sz w:val="28"/>
          <w:szCs w:val="28"/>
          <w:lang w:val="vi-VN"/>
        </w:rPr>
      </w:pPr>
      <w:r w:rsidRPr="00C411F0">
        <w:rPr>
          <w:bCs/>
          <w:i/>
          <w:iCs/>
          <w:color w:val="000000" w:themeColor="text1"/>
          <w:spacing w:val="-1"/>
          <w:sz w:val="28"/>
          <w:szCs w:val="28"/>
          <w:lang w:val="vi-VN"/>
        </w:rPr>
        <w:t xml:space="preserve">+ Đối với </w:t>
      </w:r>
      <w:r w:rsidR="006F5798" w:rsidRPr="00C411F0">
        <w:rPr>
          <w:bCs/>
          <w:i/>
          <w:iCs/>
          <w:color w:val="000000" w:themeColor="text1"/>
          <w:spacing w:val="-1"/>
          <w:sz w:val="28"/>
          <w:szCs w:val="28"/>
          <w:lang w:val="vi-VN"/>
        </w:rPr>
        <w:t>các chủ thể phát hành trái phiếu xanh:</w:t>
      </w:r>
      <w:r w:rsidR="006F5798" w:rsidRPr="00C411F0">
        <w:rPr>
          <w:bCs/>
          <w:color w:val="000000" w:themeColor="text1"/>
          <w:spacing w:val="-1"/>
          <w:sz w:val="28"/>
          <w:szCs w:val="28"/>
          <w:lang w:val="vi-VN"/>
        </w:rPr>
        <w:t xml:space="preserve"> Mặc dù </w:t>
      </w:r>
      <w:r w:rsidR="008D6526" w:rsidRPr="00C411F0">
        <w:rPr>
          <w:bCs/>
          <w:color w:val="000000" w:themeColor="text1"/>
          <w:spacing w:val="-1"/>
          <w:sz w:val="28"/>
          <w:szCs w:val="28"/>
          <w:lang w:val="vi-VN"/>
        </w:rPr>
        <w:t xml:space="preserve">thị trường </w:t>
      </w:r>
      <w:r w:rsidR="006F5798" w:rsidRPr="00C411F0">
        <w:rPr>
          <w:bCs/>
          <w:color w:val="000000" w:themeColor="text1"/>
          <w:spacing w:val="-1"/>
          <w:sz w:val="28"/>
          <w:szCs w:val="28"/>
          <w:lang w:val="vi-VN"/>
        </w:rPr>
        <w:t xml:space="preserve">trái phiếu xanh ở Việt Nam </w:t>
      </w:r>
      <w:r w:rsidR="006D7FDD" w:rsidRPr="00C411F0">
        <w:rPr>
          <w:bCs/>
          <w:color w:val="000000" w:themeColor="text1"/>
          <w:spacing w:val="-1"/>
          <w:sz w:val="28"/>
          <w:szCs w:val="28"/>
          <w:lang w:val="vi-VN"/>
        </w:rPr>
        <w:t xml:space="preserve">mới ở bước đầu phát triển </w:t>
      </w:r>
      <w:r w:rsidR="008D6526" w:rsidRPr="00C411F0">
        <w:rPr>
          <w:bCs/>
          <w:color w:val="000000" w:themeColor="text1"/>
          <w:spacing w:val="-1"/>
          <w:sz w:val="28"/>
          <w:szCs w:val="28"/>
          <w:lang w:val="vi-VN"/>
        </w:rPr>
        <w:t>(</w:t>
      </w:r>
      <w:r w:rsidR="006D7FDD" w:rsidRPr="00C411F0">
        <w:rPr>
          <w:bCs/>
          <w:color w:val="000000" w:themeColor="text1"/>
          <w:spacing w:val="-1"/>
          <w:sz w:val="28"/>
          <w:szCs w:val="28"/>
          <w:lang w:val="vi-VN"/>
        </w:rPr>
        <w:t xml:space="preserve">chưa thực sự phát triển </w:t>
      </w:r>
      <w:r w:rsidR="008D6526" w:rsidRPr="00C411F0">
        <w:rPr>
          <w:bCs/>
          <w:color w:val="000000" w:themeColor="text1"/>
          <w:spacing w:val="-1"/>
          <w:sz w:val="28"/>
          <w:szCs w:val="28"/>
          <w:lang w:val="vi-VN"/>
        </w:rPr>
        <w:t>so với các quốc gia trong khu vực và so với tín dụng xanh)</w:t>
      </w:r>
      <w:r w:rsidR="006F5798" w:rsidRPr="00C411F0">
        <w:rPr>
          <w:bCs/>
          <w:color w:val="000000" w:themeColor="text1"/>
          <w:spacing w:val="-1"/>
          <w:sz w:val="28"/>
          <w:szCs w:val="28"/>
          <w:lang w:val="vi-VN"/>
        </w:rPr>
        <w:t>, tuy nhiên các quy định</w:t>
      </w:r>
      <w:r w:rsidR="006D43F1" w:rsidRPr="00C411F0">
        <w:rPr>
          <w:bCs/>
          <w:color w:val="000000" w:themeColor="text1"/>
          <w:spacing w:val="-1"/>
          <w:sz w:val="28"/>
          <w:szCs w:val="28"/>
          <w:lang w:val="vi-VN"/>
        </w:rPr>
        <w:t xml:space="preserve"> pháp luật hiện hành</w:t>
      </w:r>
      <w:r w:rsidR="006F5798" w:rsidRPr="00C411F0">
        <w:rPr>
          <w:bCs/>
          <w:color w:val="000000" w:themeColor="text1"/>
          <w:spacing w:val="-1"/>
          <w:sz w:val="28"/>
          <w:szCs w:val="28"/>
          <w:lang w:val="vi-VN"/>
        </w:rPr>
        <w:t xml:space="preserve"> liên quan đến </w:t>
      </w:r>
      <w:r w:rsidR="00D55D4D" w:rsidRPr="009605FD">
        <w:rPr>
          <w:color w:val="000000" w:themeColor="text1"/>
          <w:spacing w:val="-1"/>
          <w:sz w:val="28"/>
          <w:szCs w:val="28"/>
          <w:lang w:val="vi-VN"/>
        </w:rPr>
        <w:t>trái phiếu xanh trong hệ thống Luật</w:t>
      </w:r>
      <w:r w:rsidR="00D55D4D" w:rsidRPr="00C411F0">
        <w:rPr>
          <w:color w:val="000000" w:themeColor="text1"/>
          <w:spacing w:val="-1"/>
          <w:sz w:val="28"/>
          <w:szCs w:val="28"/>
          <w:lang w:val="vi-VN"/>
        </w:rPr>
        <w:t xml:space="preserve">, Nghị định lĩnh vực </w:t>
      </w:r>
      <w:r w:rsidR="00D55D4D" w:rsidRPr="009605FD">
        <w:rPr>
          <w:color w:val="000000" w:themeColor="text1"/>
          <w:spacing w:val="-1"/>
          <w:sz w:val="28"/>
          <w:szCs w:val="28"/>
          <w:lang w:val="vi-VN"/>
        </w:rPr>
        <w:t>BVMT</w:t>
      </w:r>
      <w:r w:rsidR="00D55D4D" w:rsidRPr="00C411F0">
        <w:rPr>
          <w:color w:val="000000" w:themeColor="text1"/>
          <w:spacing w:val="-1"/>
          <w:sz w:val="28"/>
          <w:szCs w:val="28"/>
          <w:lang w:val="vi-VN"/>
        </w:rPr>
        <w:t xml:space="preserve"> và tài chính (</w:t>
      </w:r>
      <w:r w:rsidR="00D55D4D" w:rsidRPr="009605FD">
        <w:rPr>
          <w:color w:val="000000" w:themeColor="text1"/>
          <w:spacing w:val="-1"/>
          <w:sz w:val="28"/>
          <w:szCs w:val="28"/>
          <w:lang w:val="vi-VN"/>
        </w:rPr>
        <w:t>các Nghị định về phát hành trái phiếu doanh nghiệp</w:t>
      </w:r>
      <w:r w:rsidR="00D55D4D" w:rsidRPr="00C411F0">
        <w:rPr>
          <w:color w:val="000000" w:themeColor="text1"/>
          <w:spacing w:val="-1"/>
          <w:sz w:val="28"/>
          <w:szCs w:val="28"/>
          <w:vertAlign w:val="superscript"/>
        </w:rPr>
        <w:footnoteReference w:id="12"/>
      </w:r>
      <w:r w:rsidR="00D55D4D" w:rsidRPr="009605FD">
        <w:rPr>
          <w:color w:val="000000" w:themeColor="text1"/>
          <w:spacing w:val="-1"/>
          <w:sz w:val="28"/>
          <w:szCs w:val="28"/>
          <w:lang w:val="vi-VN"/>
        </w:rPr>
        <w:t>, trái phiếu do chính phủ</w:t>
      </w:r>
      <w:r w:rsidR="00D55D4D" w:rsidRPr="00C411F0">
        <w:rPr>
          <w:color w:val="000000" w:themeColor="text1"/>
          <w:spacing w:val="-1"/>
          <w:sz w:val="28"/>
          <w:szCs w:val="28"/>
          <w:vertAlign w:val="superscript"/>
        </w:rPr>
        <w:footnoteReference w:id="13"/>
      </w:r>
      <w:r w:rsidR="00D55D4D" w:rsidRPr="009605FD">
        <w:rPr>
          <w:color w:val="000000" w:themeColor="text1"/>
          <w:spacing w:val="-1"/>
          <w:sz w:val="28"/>
          <w:szCs w:val="28"/>
          <w:lang w:val="vi-VN"/>
        </w:rPr>
        <w:t xml:space="preserve"> và chính quyền địa phương</w:t>
      </w:r>
      <w:r w:rsidR="00D55D4D" w:rsidRPr="00C411F0">
        <w:rPr>
          <w:color w:val="000000" w:themeColor="text1"/>
          <w:spacing w:val="-1"/>
          <w:sz w:val="28"/>
          <w:szCs w:val="28"/>
          <w:vertAlign w:val="superscript"/>
        </w:rPr>
        <w:footnoteReference w:id="14"/>
      </w:r>
      <w:r w:rsidR="00D55D4D" w:rsidRPr="00C411F0">
        <w:rPr>
          <w:color w:val="000000" w:themeColor="text1"/>
          <w:spacing w:val="-1"/>
          <w:sz w:val="28"/>
          <w:szCs w:val="28"/>
          <w:lang w:val="vi-VN"/>
        </w:rPr>
        <w:t>) cũng</w:t>
      </w:r>
      <w:r w:rsidR="00D55D4D" w:rsidRPr="009605FD">
        <w:rPr>
          <w:color w:val="000000" w:themeColor="text1"/>
          <w:spacing w:val="-1"/>
          <w:sz w:val="28"/>
          <w:szCs w:val="28"/>
          <w:lang w:val="vi-VN"/>
        </w:rPr>
        <w:t xml:space="preserve"> đã tạo ra hành lang pháp lý khá đầy đủ</w:t>
      </w:r>
      <w:r w:rsidR="008D6526" w:rsidRPr="00C411F0">
        <w:rPr>
          <w:color w:val="000000" w:themeColor="text1"/>
          <w:spacing w:val="-1"/>
          <w:sz w:val="28"/>
          <w:szCs w:val="28"/>
          <w:lang w:val="vi-VN"/>
        </w:rPr>
        <w:t xml:space="preserve"> để triển khai hoạt động này</w:t>
      </w:r>
      <w:r w:rsidR="00D55D4D" w:rsidRPr="00C411F0">
        <w:rPr>
          <w:color w:val="000000" w:themeColor="text1"/>
          <w:spacing w:val="-1"/>
          <w:sz w:val="28"/>
          <w:szCs w:val="28"/>
          <w:lang w:val="vi-VN"/>
        </w:rPr>
        <w:t xml:space="preserve">. </w:t>
      </w:r>
      <w:r w:rsidR="00EA23FF" w:rsidRPr="00C411F0">
        <w:rPr>
          <w:color w:val="000000" w:themeColor="text1"/>
          <w:spacing w:val="-1"/>
          <w:sz w:val="28"/>
          <w:szCs w:val="28"/>
          <w:lang w:val="vi-VN"/>
        </w:rPr>
        <w:t>T</w:t>
      </w:r>
      <w:r w:rsidR="006F5798" w:rsidRPr="00C411F0">
        <w:rPr>
          <w:bCs/>
          <w:color w:val="000000" w:themeColor="text1"/>
          <w:spacing w:val="-1"/>
          <w:sz w:val="28"/>
          <w:szCs w:val="28"/>
          <w:lang w:val="vi-VN"/>
        </w:rPr>
        <w:t>rong năm 2021</w:t>
      </w:r>
      <w:r w:rsidR="00EA23FF" w:rsidRPr="00C411F0">
        <w:rPr>
          <w:bCs/>
          <w:color w:val="000000" w:themeColor="text1"/>
          <w:spacing w:val="-1"/>
          <w:sz w:val="28"/>
          <w:szCs w:val="28"/>
          <w:lang w:val="vi-VN"/>
        </w:rPr>
        <w:t>,</w:t>
      </w:r>
      <w:r w:rsidR="006F5798" w:rsidRPr="00C411F0">
        <w:rPr>
          <w:bCs/>
          <w:color w:val="000000" w:themeColor="text1"/>
          <w:spacing w:val="-1"/>
          <w:sz w:val="28"/>
          <w:szCs w:val="28"/>
          <w:lang w:val="vi-VN"/>
        </w:rPr>
        <w:t xml:space="preserve"> có 2 đợt phát hành trái phiếu bền vững tại thị trường quốc tế là của BIM Land trái phiếu xanh (200 triệu đô) và 425 triệu đô trái phiếu bền vững có quyền chọn của Vingroup. Đặc biệt</w:t>
      </w:r>
      <w:r w:rsidR="00EA23FF" w:rsidRPr="00C411F0">
        <w:rPr>
          <w:bCs/>
          <w:color w:val="000000" w:themeColor="text1"/>
          <w:spacing w:val="-1"/>
          <w:sz w:val="28"/>
          <w:szCs w:val="28"/>
          <w:lang w:val="vi-VN"/>
        </w:rPr>
        <w:t>,</w:t>
      </w:r>
      <w:r w:rsidR="006F5798" w:rsidRPr="00C411F0">
        <w:rPr>
          <w:bCs/>
          <w:color w:val="000000" w:themeColor="text1"/>
          <w:spacing w:val="-1"/>
          <w:sz w:val="28"/>
          <w:szCs w:val="28"/>
          <w:lang w:val="vi-VN"/>
        </w:rPr>
        <w:t xml:space="preserve"> trong tháng 7/2022</w:t>
      </w:r>
      <w:r w:rsidR="00813582" w:rsidRPr="00C411F0">
        <w:rPr>
          <w:bCs/>
          <w:color w:val="000000" w:themeColor="text1"/>
          <w:spacing w:val="-1"/>
          <w:sz w:val="28"/>
          <w:szCs w:val="28"/>
          <w:lang w:val="vi-VN"/>
        </w:rPr>
        <w:t>,</w:t>
      </w:r>
      <w:r w:rsidR="006F5798" w:rsidRPr="00C411F0">
        <w:rPr>
          <w:bCs/>
          <w:color w:val="000000" w:themeColor="text1"/>
          <w:spacing w:val="-1"/>
          <w:sz w:val="28"/>
          <w:szCs w:val="28"/>
          <w:lang w:val="vi-VN"/>
        </w:rPr>
        <w:t xml:space="preserve"> EVNF đã phát hành thành công trái phiếu xanh tại thị trường trong nước với hơn 1</w:t>
      </w:r>
      <w:r w:rsidR="00813582" w:rsidRPr="00C411F0">
        <w:rPr>
          <w:bCs/>
          <w:color w:val="000000" w:themeColor="text1"/>
          <w:spacing w:val="-1"/>
          <w:sz w:val="28"/>
          <w:szCs w:val="28"/>
          <w:lang w:val="vi-VN"/>
        </w:rPr>
        <w:t>.</w:t>
      </w:r>
      <w:r w:rsidR="006F5798" w:rsidRPr="00C411F0">
        <w:rPr>
          <w:bCs/>
          <w:color w:val="000000" w:themeColor="text1"/>
          <w:spacing w:val="-1"/>
          <w:sz w:val="28"/>
          <w:szCs w:val="28"/>
          <w:lang w:val="vi-VN"/>
        </w:rPr>
        <w:t>700 tỷ đồng áp dụng nguyên tắc phát hành trái phiếu xanh của ICMA</w:t>
      </w:r>
      <w:r w:rsidR="00D55D4D" w:rsidRPr="00C411F0">
        <w:rPr>
          <w:rStyle w:val="FootnoteReference"/>
          <w:bCs/>
          <w:color w:val="000000" w:themeColor="text1"/>
          <w:spacing w:val="-1"/>
          <w:sz w:val="28"/>
          <w:szCs w:val="28"/>
          <w:lang w:val="vi-VN"/>
        </w:rPr>
        <w:footnoteReference w:id="15"/>
      </w:r>
      <w:r w:rsidR="006F5798" w:rsidRPr="00C411F0">
        <w:rPr>
          <w:bCs/>
          <w:color w:val="000000" w:themeColor="text1"/>
          <w:spacing w:val="-1"/>
          <w:sz w:val="28"/>
          <w:szCs w:val="28"/>
          <w:lang w:val="vi-VN"/>
        </w:rPr>
        <w:t>.</w:t>
      </w:r>
      <w:r w:rsidR="008D6526" w:rsidRPr="00C411F0">
        <w:rPr>
          <w:bCs/>
          <w:color w:val="000000" w:themeColor="text1"/>
          <w:spacing w:val="-1"/>
          <w:sz w:val="28"/>
          <w:szCs w:val="28"/>
          <w:lang w:val="vi-VN"/>
        </w:rPr>
        <w:t xml:space="preserve"> Trong trường hợp giữ nguyên hiện trạng, không ban hành quy định về tiêu chí môi trường đối với các dự án được phát hành trái phiếu xanh, các chủ thể phát hành trái phiếu sẽ không bị mất thời gian, công sức, chi phí để nghiên cứu tuân thủ các quy định mới</w:t>
      </w:r>
      <w:r w:rsidR="00A21845" w:rsidRPr="00C411F0">
        <w:rPr>
          <w:bCs/>
          <w:color w:val="000000" w:themeColor="text1"/>
          <w:spacing w:val="-1"/>
          <w:sz w:val="28"/>
          <w:szCs w:val="28"/>
          <w:lang w:val="vi-VN"/>
        </w:rPr>
        <w:t>.</w:t>
      </w:r>
    </w:p>
    <w:p w14:paraId="1860F429" w14:textId="166F1817" w:rsidR="005E189E" w:rsidRPr="00C411F0" w:rsidRDefault="00A21845"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Như vậy, nhìn chung với phương án giữ nguyên hiện trạng, các TCTD cấp tín dụng xanh và chủ thể phát hành trái phiếu xanh sẽ không bị mất thời gian, công sức, chi phí để nghiên cứu, cập nhật, tuân thủ quy định mới. Công sức, chi phí bỏ ra sẽ cao </w:t>
      </w:r>
      <w:r w:rsidR="00EA23FF" w:rsidRPr="00C411F0">
        <w:rPr>
          <w:bCs/>
          <w:color w:val="000000" w:themeColor="text1"/>
          <w:sz w:val="28"/>
          <w:szCs w:val="28"/>
          <w:lang w:val="vi-VN"/>
        </w:rPr>
        <w:t xml:space="preserve">hơn </w:t>
      </w:r>
      <w:r w:rsidRPr="00C411F0">
        <w:rPr>
          <w:bCs/>
          <w:color w:val="000000" w:themeColor="text1"/>
          <w:sz w:val="28"/>
          <w:szCs w:val="28"/>
          <w:lang w:val="vi-VN"/>
        </w:rPr>
        <w:t>nếu các quy định về tiêu chí môi trường là phức tạp hơn hoặc có nhiều điểm khác biệt so với hệ thống các hướng dẫn, tiêu chí mà các đối tượng này đã và đang áp dụng.</w:t>
      </w:r>
    </w:p>
    <w:p w14:paraId="01E812F2" w14:textId="26363EE9" w:rsidR="005E189E" w:rsidRPr="00C411F0" w:rsidRDefault="00A21845"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Ngoài ra, trường hợp nếu các tiêu chí môi trường quy định đối với các dự án được cấp tín dụng xanh, phát hành trái phiếu xanh chặt chẽ hơn so với các hướng dẫn, tiêu chí mà các TCTD, chủ thể phát hành trái phiếu đang áp dụng, thì việc phải tuân theo quy định pháp luật mới về tiêu chí môi trường cho dự án xanh cũng </w:t>
      </w:r>
      <w:r w:rsidR="00EA23FF" w:rsidRPr="00C411F0">
        <w:rPr>
          <w:bCs/>
          <w:color w:val="000000" w:themeColor="text1"/>
          <w:sz w:val="28"/>
          <w:szCs w:val="28"/>
          <w:lang w:val="vi-VN"/>
        </w:rPr>
        <w:t xml:space="preserve">có thể </w:t>
      </w:r>
      <w:r w:rsidRPr="00C411F0">
        <w:rPr>
          <w:bCs/>
          <w:color w:val="000000" w:themeColor="text1"/>
          <w:sz w:val="28"/>
          <w:szCs w:val="28"/>
          <w:lang w:val="vi-VN"/>
        </w:rPr>
        <w:t xml:space="preserve">có những ảnh hưởng </w:t>
      </w:r>
      <w:r w:rsidR="001C0D43" w:rsidRPr="00C411F0">
        <w:rPr>
          <w:bCs/>
          <w:color w:val="000000" w:themeColor="text1"/>
          <w:sz w:val="28"/>
          <w:szCs w:val="28"/>
          <w:lang w:val="vi-VN"/>
        </w:rPr>
        <w:t xml:space="preserve">bất lợi </w:t>
      </w:r>
      <w:r w:rsidRPr="00C411F0">
        <w:rPr>
          <w:bCs/>
          <w:color w:val="000000" w:themeColor="text1"/>
          <w:sz w:val="28"/>
          <w:szCs w:val="28"/>
          <w:lang w:val="vi-VN"/>
        </w:rPr>
        <w:t xml:space="preserve">nhất định đối với hoạt động cấp tín dụng và phát hành trái phiếu của các tổ chức này, </w:t>
      </w:r>
      <w:r w:rsidR="001C0D43" w:rsidRPr="00C411F0">
        <w:rPr>
          <w:bCs/>
          <w:color w:val="000000" w:themeColor="text1"/>
          <w:sz w:val="28"/>
          <w:szCs w:val="28"/>
          <w:lang w:val="vi-VN"/>
        </w:rPr>
        <w:t>ví dụ phải từ chối cấp tín dụng hoặc không được phát hành trái phiếu xanh đối với các dự án không đáp ứng đầy đủ tiêu chí,</w:t>
      </w:r>
      <w:r w:rsidR="00EA23FF" w:rsidRPr="00C411F0">
        <w:rPr>
          <w:bCs/>
          <w:color w:val="000000" w:themeColor="text1"/>
          <w:sz w:val="28"/>
          <w:szCs w:val="28"/>
          <w:lang w:val="vi-VN"/>
        </w:rPr>
        <w:t xml:space="preserve"> dẫn đến</w:t>
      </w:r>
      <w:r w:rsidR="001C0D43" w:rsidRPr="00C411F0">
        <w:rPr>
          <w:bCs/>
          <w:color w:val="000000" w:themeColor="text1"/>
          <w:sz w:val="28"/>
          <w:szCs w:val="28"/>
          <w:lang w:val="vi-VN"/>
        </w:rPr>
        <w:t xml:space="preserve"> </w:t>
      </w:r>
      <w:r w:rsidR="00EA23FF" w:rsidRPr="00C411F0">
        <w:rPr>
          <w:bCs/>
          <w:color w:val="000000" w:themeColor="text1"/>
          <w:sz w:val="28"/>
          <w:szCs w:val="28"/>
          <w:lang w:val="vi-VN"/>
        </w:rPr>
        <w:t xml:space="preserve">cũng </w:t>
      </w:r>
      <w:r w:rsidR="001C0D43" w:rsidRPr="00C411F0">
        <w:rPr>
          <w:bCs/>
          <w:color w:val="000000" w:themeColor="text1"/>
          <w:sz w:val="28"/>
          <w:szCs w:val="28"/>
          <w:lang w:val="vi-VN"/>
        </w:rPr>
        <w:t xml:space="preserve">không được hưởng các ưu đãi, hỗ trợ theo các quy định hiện hành. Như vậy, việc không ban hành quy định về tiêu chí </w:t>
      </w:r>
      <w:r w:rsidR="00F37CA0" w:rsidRPr="00C411F0">
        <w:rPr>
          <w:bCs/>
          <w:color w:val="000000" w:themeColor="text1"/>
          <w:sz w:val="28"/>
          <w:szCs w:val="28"/>
          <w:lang w:val="vi-VN"/>
        </w:rPr>
        <w:t xml:space="preserve">môi trường </w:t>
      </w:r>
      <w:r w:rsidR="002716E5" w:rsidRPr="00C411F0">
        <w:rPr>
          <w:bCs/>
          <w:color w:val="000000" w:themeColor="text1"/>
          <w:sz w:val="28"/>
          <w:szCs w:val="28"/>
          <w:lang w:val="vi-VN"/>
        </w:rPr>
        <w:t xml:space="preserve">(phương án giữ nguyên hiện trạng) </w:t>
      </w:r>
      <w:r w:rsidR="00F37CA0" w:rsidRPr="00C411F0">
        <w:rPr>
          <w:bCs/>
          <w:color w:val="000000" w:themeColor="text1"/>
          <w:sz w:val="28"/>
          <w:szCs w:val="28"/>
          <w:lang w:val="vi-VN"/>
        </w:rPr>
        <w:t xml:space="preserve">vẫn </w:t>
      </w:r>
      <w:r w:rsidR="001C0D43" w:rsidRPr="00C411F0">
        <w:rPr>
          <w:bCs/>
          <w:color w:val="000000" w:themeColor="text1"/>
          <w:sz w:val="28"/>
          <w:szCs w:val="28"/>
          <w:lang w:val="vi-VN"/>
        </w:rPr>
        <w:t xml:space="preserve">sẽ đem lại những </w:t>
      </w:r>
      <w:r w:rsidR="00BC1B60" w:rsidRPr="00C411F0">
        <w:rPr>
          <w:bCs/>
          <w:color w:val="000000" w:themeColor="text1"/>
          <w:sz w:val="28"/>
          <w:szCs w:val="28"/>
          <w:lang w:val="vi-VN"/>
        </w:rPr>
        <w:t xml:space="preserve">lợi ích kinh tế </w:t>
      </w:r>
      <w:r w:rsidR="001C0D43" w:rsidRPr="00C411F0">
        <w:rPr>
          <w:bCs/>
          <w:color w:val="000000" w:themeColor="text1"/>
          <w:sz w:val="28"/>
          <w:szCs w:val="28"/>
          <w:lang w:val="vi-VN"/>
        </w:rPr>
        <w:t>nhất định cho các TCTD và chủ thể phát hành trái phiếu</w:t>
      </w:r>
      <w:r w:rsidR="00F37CA0" w:rsidRPr="00C411F0">
        <w:rPr>
          <w:bCs/>
          <w:color w:val="000000" w:themeColor="text1"/>
          <w:sz w:val="28"/>
          <w:szCs w:val="28"/>
          <w:lang w:val="vi-VN"/>
        </w:rPr>
        <w:t xml:space="preserve"> trong trường hợp này (mặc dù có thể gây </w:t>
      </w:r>
      <w:r w:rsidR="00F37CA0" w:rsidRPr="00C411F0">
        <w:rPr>
          <w:bCs/>
          <w:color w:val="000000" w:themeColor="text1"/>
          <w:sz w:val="28"/>
          <w:szCs w:val="28"/>
          <w:lang w:val="vi-VN"/>
        </w:rPr>
        <w:lastRenderedPageBreak/>
        <w:t>tác động tiêu cực đến môi trường và phát triển bền vững)</w:t>
      </w:r>
      <w:r w:rsidR="001C0D43" w:rsidRPr="00C411F0">
        <w:rPr>
          <w:bCs/>
          <w:color w:val="000000" w:themeColor="text1"/>
          <w:sz w:val="28"/>
          <w:szCs w:val="28"/>
          <w:lang w:val="vi-VN"/>
        </w:rPr>
        <w:t>.</w:t>
      </w:r>
    </w:p>
    <w:p w14:paraId="34FCFE8C" w14:textId="7ABB2BCD" w:rsidR="001C0D43" w:rsidRPr="00C411F0" w:rsidRDefault="002E0206" w:rsidP="00BE7B36">
      <w:pPr>
        <w:widowControl w:val="0"/>
        <w:spacing w:before="120" w:line="340" w:lineRule="exact"/>
        <w:ind w:firstLine="720"/>
        <w:jc w:val="both"/>
        <w:rPr>
          <w:i/>
          <w:color w:val="000000" w:themeColor="text1"/>
          <w:highlight w:val="white"/>
          <w:lang w:val="vi-VN"/>
        </w:rPr>
      </w:pPr>
      <w:r w:rsidRPr="00C411F0">
        <w:rPr>
          <w:i/>
          <w:color w:val="000000" w:themeColor="text1"/>
          <w:highlight w:val="white"/>
          <w:lang w:val="vi-VN"/>
        </w:rPr>
        <w:t>- Tác động tiêu cực:</w:t>
      </w:r>
    </w:p>
    <w:p w14:paraId="11184716" w14:textId="77777777" w:rsidR="00897666" w:rsidRPr="00C411F0" w:rsidRDefault="00897666"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w:t>
      </w:r>
      <w:r w:rsidRPr="009605FD">
        <w:rPr>
          <w:bCs/>
          <w:color w:val="000000" w:themeColor="text1"/>
          <w:sz w:val="28"/>
          <w:szCs w:val="28"/>
          <w:lang w:val="vi-VN"/>
        </w:rPr>
        <w:t xml:space="preserve"> Đối với các TCTD</w:t>
      </w:r>
      <w:r w:rsidRPr="00C411F0">
        <w:rPr>
          <w:bCs/>
          <w:color w:val="000000" w:themeColor="text1"/>
          <w:sz w:val="28"/>
          <w:szCs w:val="28"/>
          <w:lang w:val="vi-VN"/>
        </w:rPr>
        <w:t xml:space="preserve"> và chủ thể phát hành TPX (doanh nghiệp): </w:t>
      </w:r>
    </w:p>
    <w:p w14:paraId="2663530F" w14:textId="3EB55998" w:rsidR="00077459" w:rsidRPr="00C411F0" w:rsidRDefault="00BA49DC" w:rsidP="00BE7B36">
      <w:pPr>
        <w:pStyle w:val="NormalWeb"/>
        <w:widowControl w:val="0"/>
        <w:shd w:val="clear" w:color="auto" w:fill="FFFFFF"/>
        <w:spacing w:before="120" w:beforeAutospacing="0" w:after="0" w:afterAutospacing="0" w:line="340" w:lineRule="exact"/>
        <w:ind w:firstLine="720"/>
        <w:rPr>
          <w:color w:val="000000" w:themeColor="text1"/>
          <w:sz w:val="28"/>
          <w:szCs w:val="28"/>
          <w:lang w:val="vi-VN" w:eastAsia="vi-VN"/>
        </w:rPr>
      </w:pPr>
      <w:r w:rsidRPr="009605FD">
        <w:rPr>
          <w:color w:val="000000" w:themeColor="text1"/>
          <w:sz w:val="28"/>
          <w:szCs w:val="28"/>
          <w:lang w:val="vi-VN" w:eastAsia="vi-VN"/>
        </w:rPr>
        <w:t>Việc</w:t>
      </w:r>
      <w:r w:rsidRPr="00C411F0">
        <w:rPr>
          <w:color w:val="000000" w:themeColor="text1"/>
          <w:sz w:val="28"/>
          <w:szCs w:val="28"/>
          <w:lang w:val="vi-VN" w:eastAsia="vi-VN"/>
        </w:rPr>
        <w:t xml:space="preserve"> thiếu các quy định về tiêu chí môi trường, không có danh mục phân loại xanh </w:t>
      </w:r>
      <w:r w:rsidR="00AB1180" w:rsidRPr="00C411F0">
        <w:rPr>
          <w:color w:val="000000" w:themeColor="text1"/>
          <w:sz w:val="28"/>
          <w:szCs w:val="28"/>
          <w:lang w:val="vi-VN" w:eastAsia="vi-VN"/>
        </w:rPr>
        <w:t xml:space="preserve">(trong khi các hướng </w:t>
      </w:r>
      <w:r w:rsidRPr="009605FD">
        <w:rPr>
          <w:color w:val="000000" w:themeColor="text1"/>
          <w:sz w:val="28"/>
          <w:szCs w:val="28"/>
          <w:lang w:val="vi-VN" w:eastAsia="vi-VN"/>
        </w:rPr>
        <w:t xml:space="preserve">dẫn </w:t>
      </w:r>
      <w:r w:rsidR="00AB1180" w:rsidRPr="009605FD">
        <w:rPr>
          <w:color w:val="000000" w:themeColor="text1"/>
          <w:sz w:val="28"/>
          <w:szCs w:val="28"/>
          <w:lang w:val="vi-VN" w:eastAsia="vi-VN"/>
        </w:rPr>
        <w:t>hiện</w:t>
      </w:r>
      <w:r w:rsidR="00AB1180" w:rsidRPr="00C411F0">
        <w:rPr>
          <w:color w:val="000000" w:themeColor="text1"/>
          <w:sz w:val="28"/>
          <w:szCs w:val="28"/>
          <w:lang w:val="vi-VN" w:eastAsia="vi-VN"/>
        </w:rPr>
        <w:t xml:space="preserve"> hành chỉ nêu nhóm ngành và đưa tên dự án để tham khảo) dẫn đến </w:t>
      </w:r>
      <w:r w:rsidRPr="009605FD">
        <w:rPr>
          <w:color w:val="000000" w:themeColor="text1"/>
          <w:sz w:val="28"/>
          <w:szCs w:val="28"/>
          <w:lang w:val="vi-VN" w:eastAsia="vi-VN"/>
        </w:rPr>
        <w:t>thiếu cơ sở để các TCTD</w:t>
      </w:r>
      <w:r w:rsidRPr="00C411F0">
        <w:rPr>
          <w:color w:val="000000" w:themeColor="text1"/>
          <w:sz w:val="28"/>
          <w:szCs w:val="28"/>
          <w:lang w:val="vi-VN" w:eastAsia="vi-VN"/>
        </w:rPr>
        <w:t>, các chủ thể phát hành trái phiếu</w:t>
      </w:r>
      <w:r w:rsidRPr="009605FD">
        <w:rPr>
          <w:color w:val="000000" w:themeColor="text1"/>
          <w:sz w:val="28"/>
          <w:szCs w:val="28"/>
          <w:lang w:val="vi-VN" w:eastAsia="vi-VN"/>
        </w:rPr>
        <w:t xml:space="preserve"> có căn cứ lựa chọn, thẩm định, đánh giá và giám sát thực hiện cấp tín dụng xanh</w:t>
      </w:r>
      <w:r w:rsidRPr="00C411F0">
        <w:rPr>
          <w:color w:val="000000" w:themeColor="text1"/>
          <w:sz w:val="28"/>
          <w:szCs w:val="28"/>
          <w:lang w:val="vi-VN" w:eastAsia="vi-VN"/>
        </w:rPr>
        <w:t xml:space="preserve">, </w:t>
      </w:r>
      <w:r w:rsidR="008B0DD1" w:rsidRPr="00C411F0">
        <w:rPr>
          <w:color w:val="000000" w:themeColor="text1"/>
          <w:sz w:val="28"/>
          <w:szCs w:val="28"/>
          <w:lang w:val="vi-VN" w:eastAsia="vi-VN"/>
        </w:rPr>
        <w:t xml:space="preserve">huy động nguồn vốn cho các dự án thuộc danh mục xanh. </w:t>
      </w:r>
      <w:r w:rsidR="00AB1180" w:rsidRPr="00C411F0">
        <w:rPr>
          <w:color w:val="000000" w:themeColor="text1"/>
          <w:sz w:val="28"/>
          <w:szCs w:val="28"/>
          <w:lang w:val="vi-VN" w:eastAsia="vi-VN"/>
        </w:rPr>
        <w:t>Hệ quả là</w:t>
      </w:r>
      <w:r w:rsidR="00F37CA0" w:rsidRPr="00C411F0">
        <w:rPr>
          <w:color w:val="000000" w:themeColor="text1"/>
          <w:sz w:val="28"/>
          <w:szCs w:val="28"/>
          <w:lang w:val="vi-VN" w:eastAsia="vi-VN"/>
        </w:rPr>
        <w:t xml:space="preserve"> </w:t>
      </w:r>
      <w:r w:rsidR="008B0DD1" w:rsidRPr="00C411F0">
        <w:rPr>
          <w:color w:val="000000" w:themeColor="text1"/>
          <w:sz w:val="28"/>
          <w:szCs w:val="28"/>
          <w:lang w:val="vi-VN" w:eastAsia="vi-VN"/>
        </w:rPr>
        <w:t xml:space="preserve">mất thời gian, </w:t>
      </w:r>
      <w:r w:rsidR="00AB1180" w:rsidRPr="00C411F0">
        <w:rPr>
          <w:color w:val="000000" w:themeColor="text1"/>
          <w:sz w:val="28"/>
          <w:szCs w:val="28"/>
          <w:lang w:val="vi-VN" w:eastAsia="vi-VN"/>
        </w:rPr>
        <w:t xml:space="preserve">công sức, </w:t>
      </w:r>
      <w:r w:rsidR="008B0DD1" w:rsidRPr="00C411F0">
        <w:rPr>
          <w:color w:val="000000" w:themeColor="text1"/>
          <w:sz w:val="28"/>
          <w:szCs w:val="28"/>
          <w:lang w:val="vi-VN" w:eastAsia="vi-VN"/>
        </w:rPr>
        <w:t xml:space="preserve">chi phí </w:t>
      </w:r>
      <w:r w:rsidR="00F37CA0" w:rsidRPr="00C411F0">
        <w:rPr>
          <w:color w:val="000000" w:themeColor="text1"/>
          <w:sz w:val="28"/>
          <w:szCs w:val="28"/>
          <w:lang w:val="vi-VN" w:eastAsia="vi-VN"/>
        </w:rPr>
        <w:t>để tìm hiểu các tiêu chí</w:t>
      </w:r>
      <w:r w:rsidR="00AB1180" w:rsidRPr="00C411F0">
        <w:rPr>
          <w:color w:val="000000" w:themeColor="text1"/>
          <w:sz w:val="28"/>
          <w:szCs w:val="28"/>
          <w:lang w:val="vi-VN" w:eastAsia="vi-VN"/>
        </w:rPr>
        <w:t>, các tác động, rủi ro đến môi trường của dự án, đặc biệt đối với các TCTD, chủ thể phát hành TPX mới tiếp cận, triển khai các hoạt động này.</w:t>
      </w:r>
      <w:r w:rsidR="00077459" w:rsidRPr="00C411F0">
        <w:rPr>
          <w:color w:val="000000" w:themeColor="text1"/>
          <w:sz w:val="28"/>
          <w:szCs w:val="28"/>
          <w:lang w:val="vi-VN" w:eastAsia="vi-VN"/>
        </w:rPr>
        <w:t xml:space="preserve"> Đồng thời, các TCTD năng lực chưa cao cũng phải đối mặt với những rủi ro kinh tế nhất định khi cấp tín dụng xanh cho các dự án không thực xanh (các trường hợp “green washing”) do thiếu các quy định rõ ràng về tiêu chí môi trường.</w:t>
      </w:r>
    </w:p>
    <w:p w14:paraId="591FD54C" w14:textId="433C3D5B" w:rsidR="00207E39" w:rsidRPr="00C411F0" w:rsidRDefault="001311E4"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Danh mục </w:t>
      </w:r>
      <w:r w:rsidR="00D726F0" w:rsidRPr="00C411F0">
        <w:rPr>
          <w:bCs/>
          <w:color w:val="000000" w:themeColor="text1"/>
          <w:sz w:val="28"/>
          <w:szCs w:val="28"/>
          <w:lang w:val="vi-VN"/>
        </w:rPr>
        <w:t xml:space="preserve">các loại hình dự án xanh </w:t>
      </w:r>
      <w:r w:rsidRPr="00C411F0">
        <w:rPr>
          <w:bCs/>
          <w:color w:val="000000" w:themeColor="text1"/>
          <w:sz w:val="28"/>
          <w:szCs w:val="28"/>
          <w:lang w:val="vi-VN"/>
        </w:rPr>
        <w:t>trong các hướng dẫn ngành hiện chưa mở rộng</w:t>
      </w:r>
      <w:r w:rsidR="00513ECE" w:rsidRPr="00C411F0">
        <w:rPr>
          <w:bCs/>
          <w:color w:val="000000" w:themeColor="text1"/>
          <w:sz w:val="28"/>
          <w:szCs w:val="28"/>
          <w:lang w:val="vi-VN"/>
        </w:rPr>
        <w:t xml:space="preserve"> đầy đủ theo quy định của Luật BVMT 2020</w:t>
      </w:r>
      <w:r w:rsidR="00D726F0" w:rsidRPr="00C411F0">
        <w:rPr>
          <w:bCs/>
          <w:color w:val="000000" w:themeColor="text1"/>
          <w:sz w:val="28"/>
          <w:szCs w:val="28"/>
          <w:lang w:val="vi-VN"/>
        </w:rPr>
        <w:t xml:space="preserve">, dẫn đến </w:t>
      </w:r>
      <w:r w:rsidR="00897666" w:rsidRPr="00C411F0">
        <w:rPr>
          <w:bCs/>
          <w:color w:val="000000" w:themeColor="text1"/>
          <w:sz w:val="28"/>
          <w:szCs w:val="28"/>
          <w:lang w:val="vi-VN"/>
        </w:rPr>
        <w:t xml:space="preserve">các TCTD </w:t>
      </w:r>
      <w:r w:rsidR="00D726F0" w:rsidRPr="00C411F0">
        <w:rPr>
          <w:bCs/>
          <w:color w:val="000000" w:themeColor="text1"/>
          <w:sz w:val="28"/>
          <w:szCs w:val="28"/>
          <w:lang w:val="vi-VN"/>
        </w:rPr>
        <w:t xml:space="preserve">không </w:t>
      </w:r>
      <w:r w:rsidR="00897666" w:rsidRPr="00C411F0">
        <w:rPr>
          <w:bCs/>
          <w:color w:val="000000" w:themeColor="text1"/>
          <w:sz w:val="28"/>
          <w:szCs w:val="28"/>
          <w:lang w:val="vi-VN"/>
        </w:rPr>
        <w:t xml:space="preserve">mở rộng </w:t>
      </w:r>
      <w:r w:rsidR="00D726F0" w:rsidRPr="00C411F0">
        <w:rPr>
          <w:bCs/>
          <w:color w:val="000000" w:themeColor="text1"/>
          <w:sz w:val="28"/>
          <w:szCs w:val="28"/>
          <w:lang w:val="vi-VN"/>
        </w:rPr>
        <w:t xml:space="preserve">được </w:t>
      </w:r>
      <w:r w:rsidR="00897666" w:rsidRPr="00C411F0">
        <w:rPr>
          <w:bCs/>
          <w:color w:val="000000" w:themeColor="text1"/>
          <w:sz w:val="28"/>
          <w:szCs w:val="28"/>
          <w:lang w:val="vi-VN"/>
        </w:rPr>
        <w:t xml:space="preserve">đối tượng khách hàng </w:t>
      </w:r>
      <w:r w:rsidR="00D726F0" w:rsidRPr="00C411F0">
        <w:rPr>
          <w:bCs/>
          <w:color w:val="000000" w:themeColor="text1"/>
          <w:sz w:val="28"/>
          <w:szCs w:val="28"/>
          <w:lang w:val="vi-VN"/>
        </w:rPr>
        <w:t xml:space="preserve">cấp tín dụng xanh </w:t>
      </w:r>
      <w:r w:rsidR="00897666" w:rsidRPr="00C411F0">
        <w:rPr>
          <w:bCs/>
          <w:color w:val="000000" w:themeColor="text1"/>
          <w:sz w:val="28"/>
          <w:szCs w:val="28"/>
          <w:lang w:val="vi-VN"/>
        </w:rPr>
        <w:t xml:space="preserve">và các chủ thể phát hành TPX </w:t>
      </w:r>
      <w:r w:rsidR="00D726F0" w:rsidRPr="00C411F0">
        <w:rPr>
          <w:bCs/>
          <w:color w:val="000000" w:themeColor="text1"/>
          <w:sz w:val="28"/>
          <w:szCs w:val="28"/>
          <w:lang w:val="vi-VN"/>
        </w:rPr>
        <w:t xml:space="preserve">không </w:t>
      </w:r>
      <w:r w:rsidR="00897666" w:rsidRPr="00C411F0">
        <w:rPr>
          <w:bCs/>
          <w:color w:val="000000" w:themeColor="text1"/>
          <w:sz w:val="28"/>
          <w:szCs w:val="28"/>
          <w:lang w:val="vi-VN"/>
        </w:rPr>
        <w:t xml:space="preserve">mở rộng </w:t>
      </w:r>
      <w:r w:rsidR="00D726F0" w:rsidRPr="00C411F0">
        <w:rPr>
          <w:bCs/>
          <w:color w:val="000000" w:themeColor="text1"/>
          <w:sz w:val="28"/>
          <w:szCs w:val="28"/>
          <w:lang w:val="vi-VN"/>
        </w:rPr>
        <w:t xml:space="preserve">được cơ hội, </w:t>
      </w:r>
      <w:r w:rsidR="00897666" w:rsidRPr="00C411F0">
        <w:rPr>
          <w:bCs/>
          <w:color w:val="000000" w:themeColor="text1"/>
          <w:sz w:val="28"/>
          <w:szCs w:val="28"/>
          <w:lang w:val="vi-VN"/>
        </w:rPr>
        <w:t xml:space="preserve">khả năng huy động nguồn vốn. </w:t>
      </w:r>
    </w:p>
    <w:p w14:paraId="2148EF02" w14:textId="07EC5805" w:rsidR="00897666" w:rsidRPr="00C411F0" w:rsidRDefault="00897666"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Ngoài ra, </w:t>
      </w:r>
      <w:r w:rsidR="00EB1B64" w:rsidRPr="00C411F0">
        <w:rPr>
          <w:bCs/>
          <w:color w:val="000000" w:themeColor="text1"/>
          <w:sz w:val="28"/>
          <w:szCs w:val="28"/>
          <w:lang w:val="vi-VN"/>
        </w:rPr>
        <w:t xml:space="preserve">kết quả khảo sát các TCTD về tình hình triển khai hoạt động cấp tín dụng xanh (thực hiện trong quá trình xây dựng Quyết định và đánh giá tác động chính sách năm 2022) cho thấy, việc chưa thống nhất tiêu chí, chưa phân định rõ </w:t>
      </w:r>
      <w:r w:rsidR="00D02F50" w:rsidRPr="00C411F0">
        <w:rPr>
          <w:bCs/>
          <w:color w:val="000000" w:themeColor="text1"/>
          <w:sz w:val="28"/>
          <w:szCs w:val="28"/>
          <w:lang w:val="vi-VN"/>
        </w:rPr>
        <w:t>loại hình dự án/</w:t>
      </w:r>
      <w:r w:rsidR="00EB1B64" w:rsidRPr="00C411F0">
        <w:rPr>
          <w:bCs/>
          <w:color w:val="000000" w:themeColor="text1"/>
          <w:sz w:val="28"/>
          <w:szCs w:val="28"/>
          <w:lang w:val="vi-VN"/>
        </w:rPr>
        <w:t xml:space="preserve">dự </w:t>
      </w:r>
      <w:r w:rsidR="00D02F50" w:rsidRPr="00C411F0">
        <w:rPr>
          <w:bCs/>
          <w:color w:val="000000" w:themeColor="text1"/>
          <w:sz w:val="28"/>
          <w:szCs w:val="28"/>
          <w:lang w:val="vi-VN"/>
        </w:rPr>
        <w:t xml:space="preserve">án trong danh mục xanh cũng gây khó khăn, vướng mắc trong việc theo dõi, thống kê, tổng hợp số liệu. Đồng thời, hiện các loại hình dự án đang được cấp tín dụng xanh cũng không gắn với các mã </w:t>
      </w:r>
      <w:r w:rsidRPr="00C411F0">
        <w:rPr>
          <w:bCs/>
          <w:color w:val="000000" w:themeColor="text1"/>
          <w:sz w:val="28"/>
          <w:szCs w:val="28"/>
          <w:lang w:val="vi-VN"/>
        </w:rPr>
        <w:t xml:space="preserve">ngành kinh tế </w:t>
      </w:r>
      <w:r w:rsidR="00D02F50" w:rsidRPr="00C411F0">
        <w:rPr>
          <w:bCs/>
          <w:color w:val="000000" w:themeColor="text1"/>
          <w:sz w:val="28"/>
          <w:szCs w:val="28"/>
          <w:lang w:val="vi-VN"/>
        </w:rPr>
        <w:t>(</w:t>
      </w:r>
      <w:r w:rsidRPr="00C411F0">
        <w:rPr>
          <w:bCs/>
          <w:color w:val="000000" w:themeColor="text1"/>
          <w:sz w:val="28"/>
          <w:szCs w:val="28"/>
          <w:lang w:val="vi-VN"/>
        </w:rPr>
        <w:t xml:space="preserve">theo Quyết định </w:t>
      </w:r>
      <w:r w:rsidRPr="00C411F0">
        <w:rPr>
          <w:color w:val="000000" w:themeColor="text1"/>
          <w:sz w:val="28"/>
          <w:szCs w:val="28"/>
          <w:lang w:val="vi-VN" w:eastAsia="vi-VN"/>
        </w:rPr>
        <w:t>số 27/2018/QĐ-TTg</w:t>
      </w:r>
      <w:r w:rsidR="00D02F50" w:rsidRPr="00C411F0">
        <w:rPr>
          <w:color w:val="000000" w:themeColor="text1"/>
          <w:sz w:val="28"/>
          <w:szCs w:val="28"/>
          <w:lang w:val="vi-VN" w:eastAsia="vi-VN"/>
        </w:rPr>
        <w:t>), không phù hợp với hệ thống core dữ liệu của các TCTD nên việc tổng hợp, thống kê được thực hiện riêng, gây mất thời gian, công sức, tốn kém kinh phí trong</w:t>
      </w:r>
      <w:r w:rsidRPr="00C411F0">
        <w:rPr>
          <w:bCs/>
          <w:color w:val="000000" w:themeColor="text1"/>
          <w:sz w:val="28"/>
          <w:szCs w:val="28"/>
          <w:lang w:val="vi-VN"/>
        </w:rPr>
        <w:t xml:space="preserve"> thống kê, báo cáo. </w:t>
      </w:r>
    </w:p>
    <w:p w14:paraId="0605F0E1" w14:textId="77777777" w:rsidR="00897666" w:rsidRPr="009605FD" w:rsidRDefault="00897666" w:rsidP="00BE7B36">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 Đối với các chủ dự án:</w:t>
      </w:r>
    </w:p>
    <w:p w14:paraId="2CF6905A" w14:textId="1B192148" w:rsidR="00897666" w:rsidRPr="00C411F0" w:rsidRDefault="00897666" w:rsidP="00BE7B36">
      <w:pPr>
        <w:pStyle w:val="NormalWeb"/>
        <w:widowControl w:val="0"/>
        <w:shd w:val="clear" w:color="auto" w:fill="FFFFFF"/>
        <w:spacing w:before="120" w:beforeAutospacing="0" w:after="0" w:afterAutospacing="0" w:line="340" w:lineRule="exact"/>
        <w:ind w:firstLine="720"/>
        <w:rPr>
          <w:bCs/>
          <w:color w:val="000000" w:themeColor="text1"/>
          <w:spacing w:val="-4"/>
          <w:sz w:val="28"/>
          <w:szCs w:val="28"/>
          <w:lang w:val="vi-VN"/>
        </w:rPr>
      </w:pPr>
      <w:r w:rsidRPr="00C411F0">
        <w:rPr>
          <w:bCs/>
          <w:color w:val="000000" w:themeColor="text1"/>
          <w:spacing w:val="-4"/>
          <w:sz w:val="28"/>
          <w:szCs w:val="28"/>
          <w:lang w:val="vi-VN"/>
        </w:rPr>
        <w:t>Khi thiếu các quy định pháp lý về danh mục, tiêu chí, điều kiện của dự án xanh, c</w:t>
      </w:r>
      <w:r w:rsidRPr="009605FD">
        <w:rPr>
          <w:bCs/>
          <w:color w:val="000000" w:themeColor="text1"/>
          <w:spacing w:val="-4"/>
          <w:sz w:val="28"/>
          <w:szCs w:val="28"/>
          <w:lang w:val="vi-VN"/>
        </w:rPr>
        <w:t>ác chủ dự án</w:t>
      </w:r>
      <w:r w:rsidRPr="00C411F0">
        <w:rPr>
          <w:bCs/>
          <w:color w:val="000000" w:themeColor="text1"/>
          <w:spacing w:val="-4"/>
          <w:sz w:val="28"/>
          <w:szCs w:val="28"/>
          <w:lang w:val="vi-VN"/>
        </w:rPr>
        <w:t xml:space="preserve"> thường</w:t>
      </w:r>
      <w:r w:rsidRPr="009605FD">
        <w:rPr>
          <w:bCs/>
          <w:color w:val="000000" w:themeColor="text1"/>
          <w:spacing w:val="-4"/>
          <w:sz w:val="28"/>
          <w:szCs w:val="28"/>
          <w:lang w:val="vi-VN"/>
        </w:rPr>
        <w:t xml:space="preserve"> không chủ động biết được trách nhiệm, yêu cầu để chuẩn bị trong quy trình xin cấp vốn</w:t>
      </w:r>
      <w:r w:rsidRPr="00C411F0">
        <w:rPr>
          <w:bCs/>
          <w:color w:val="000000" w:themeColor="text1"/>
          <w:spacing w:val="-4"/>
          <w:sz w:val="28"/>
          <w:szCs w:val="28"/>
          <w:lang w:val="vi-VN"/>
        </w:rPr>
        <w:t>,</w:t>
      </w:r>
      <w:r w:rsidRPr="009605FD">
        <w:rPr>
          <w:bCs/>
          <w:color w:val="000000" w:themeColor="text1"/>
          <w:spacing w:val="-4"/>
          <w:sz w:val="28"/>
          <w:szCs w:val="28"/>
          <w:lang w:val="vi-VN"/>
        </w:rPr>
        <w:t xml:space="preserve"> dẫn đến tốn kém thời gian, công sức và kinh phí.</w:t>
      </w:r>
      <w:r w:rsidRPr="00C411F0">
        <w:rPr>
          <w:bCs/>
          <w:color w:val="000000" w:themeColor="text1"/>
          <w:spacing w:val="-4"/>
          <w:sz w:val="28"/>
          <w:szCs w:val="28"/>
          <w:lang w:val="vi-VN"/>
        </w:rPr>
        <w:t xml:space="preserve"> </w:t>
      </w:r>
    </w:p>
    <w:p w14:paraId="7A47909B" w14:textId="5FB1FC1B" w:rsidR="001E64C8" w:rsidRPr="00C411F0" w:rsidRDefault="00897666" w:rsidP="00BE7B36">
      <w:pPr>
        <w:widowControl w:val="0"/>
        <w:spacing w:before="120" w:line="340" w:lineRule="exact"/>
        <w:ind w:firstLine="720"/>
        <w:jc w:val="both"/>
        <w:rPr>
          <w:color w:val="000000" w:themeColor="text1"/>
          <w:lang w:val="vi-VN"/>
        </w:rPr>
      </w:pPr>
      <w:r w:rsidRPr="00C411F0">
        <w:rPr>
          <w:bCs/>
          <w:color w:val="000000" w:themeColor="text1"/>
          <w:lang w:val="vi-VN"/>
        </w:rPr>
        <w:t xml:space="preserve">Ngoài ra, </w:t>
      </w:r>
      <w:r w:rsidR="001E64C8" w:rsidRPr="00C411F0">
        <w:rPr>
          <w:bCs/>
          <w:color w:val="000000" w:themeColor="text1"/>
          <w:lang w:val="vi-VN"/>
        </w:rPr>
        <w:t xml:space="preserve">trong quá trình chuyển đổi sang </w:t>
      </w:r>
      <w:r w:rsidR="001E64C8" w:rsidRPr="009605FD">
        <w:rPr>
          <w:color w:val="000000" w:themeColor="text1"/>
          <w:lang w:val="vi-VN"/>
        </w:rPr>
        <w:t>các mô hình kinh tế xanh, ít chất thải, các-bon thấp, kinh tế tuần hoàn, phục vụ các mục tiêu môi trường quốc gia và các cam kết khí hậu</w:t>
      </w:r>
      <w:r w:rsidR="001E64C8" w:rsidRPr="00C411F0">
        <w:rPr>
          <w:color w:val="000000" w:themeColor="text1"/>
          <w:lang w:val="vi-VN"/>
        </w:rPr>
        <w:t xml:space="preserve">, nhiều chủ dự án có nhu cầu vay vốn hoặc huy động vốn để thực hiện cải tạo, nâng cấp các công trình xử lý chất thải, lắp đặt các thiết bị, hạng mục tuần hoàn, tái sử dụng, áp dụng các biện pháp kỹ thuật hiện có tốt nhất (BAT)… Tuy nhiên, các hướng dẫn hiện hành không có danh mục, tiêu chí đối với các loại hình này nên cơ hội được vay </w:t>
      </w:r>
      <w:r w:rsidR="00873422" w:rsidRPr="00C411F0">
        <w:rPr>
          <w:color w:val="000000" w:themeColor="text1"/>
          <w:lang w:val="vi-VN"/>
        </w:rPr>
        <w:t>vốn, huy động vốn đối với chủ dự án hầu như không có.</w:t>
      </w:r>
    </w:p>
    <w:p w14:paraId="1F330BEA" w14:textId="3C126EBD" w:rsidR="00897666" w:rsidRPr="00C411F0" w:rsidRDefault="00897666"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lastRenderedPageBreak/>
        <w:t>+ Đối với các nhà đầu tư:</w:t>
      </w:r>
    </w:p>
    <w:p w14:paraId="35CF023C" w14:textId="5155C958" w:rsidR="00207E39" w:rsidRPr="00C411F0" w:rsidRDefault="00873422"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Việc</w:t>
      </w:r>
      <w:r w:rsidRPr="00C411F0">
        <w:rPr>
          <w:bCs/>
          <w:color w:val="000000" w:themeColor="text1"/>
          <w:sz w:val="28"/>
          <w:szCs w:val="28"/>
          <w:lang w:val="vi-VN"/>
        </w:rPr>
        <w:t xml:space="preserve"> thiếu các quy định pháp lý </w:t>
      </w:r>
      <w:r w:rsidR="00207E39" w:rsidRPr="00C411F0">
        <w:rPr>
          <w:bCs/>
          <w:color w:val="000000" w:themeColor="text1"/>
          <w:sz w:val="28"/>
          <w:szCs w:val="28"/>
          <w:lang w:val="vi-VN"/>
        </w:rPr>
        <w:t>rõ ràng về tiêu chí môi trường, danh mục phân loại xanh</w:t>
      </w:r>
      <w:r w:rsidR="00077459" w:rsidRPr="00C411F0">
        <w:rPr>
          <w:bCs/>
          <w:color w:val="000000" w:themeColor="text1"/>
          <w:sz w:val="28"/>
          <w:szCs w:val="28"/>
          <w:lang w:val="vi-VN"/>
        </w:rPr>
        <w:t xml:space="preserve"> đi kèm với việc thông tin không minh bạch</w:t>
      </w:r>
      <w:r w:rsidR="00207E39" w:rsidRPr="00C411F0">
        <w:rPr>
          <w:bCs/>
          <w:color w:val="000000" w:themeColor="text1"/>
          <w:sz w:val="28"/>
          <w:szCs w:val="28"/>
          <w:lang w:val="vi-VN"/>
        </w:rPr>
        <w:t xml:space="preserve"> sẽ gây nên tâm lý e ngại đầu tư đối với </w:t>
      </w:r>
      <w:r w:rsidR="00D768D0" w:rsidRPr="00C411F0">
        <w:rPr>
          <w:bCs/>
          <w:color w:val="000000" w:themeColor="text1"/>
          <w:sz w:val="28"/>
          <w:szCs w:val="28"/>
          <w:lang w:val="vi-VN"/>
        </w:rPr>
        <w:t>các nhà đầu tư trong và ngoài nước, dẫn đến việc mất đi các cơ hội để tăng nguồn lợi kinh tế.</w:t>
      </w:r>
    </w:p>
    <w:p w14:paraId="41CFEA81" w14:textId="35915136" w:rsidR="00516815" w:rsidRPr="00C411F0" w:rsidRDefault="00516815" w:rsidP="00255F30">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Đối với người dân</w:t>
      </w:r>
      <w:r w:rsidR="00D768D0" w:rsidRPr="00C411F0">
        <w:rPr>
          <w:b/>
          <w:bCs/>
          <w:i/>
          <w:color w:val="000000" w:themeColor="text1"/>
          <w:highlight w:val="white"/>
          <w:lang w:val="vi-VN"/>
        </w:rPr>
        <w:t xml:space="preserve"> (cộng đồng dân cư)</w:t>
      </w:r>
      <w:r w:rsidRPr="00C411F0">
        <w:rPr>
          <w:b/>
          <w:bCs/>
          <w:i/>
          <w:color w:val="000000" w:themeColor="text1"/>
          <w:highlight w:val="white"/>
          <w:lang w:val="vi-VN"/>
        </w:rPr>
        <w:t>:</w:t>
      </w:r>
    </w:p>
    <w:p w14:paraId="7DA4FF9B" w14:textId="0275421B" w:rsidR="00D768D0" w:rsidRPr="00C411F0" w:rsidRDefault="00D768D0" w:rsidP="00255F30">
      <w:pPr>
        <w:widowControl w:val="0"/>
        <w:spacing w:before="120" w:line="340" w:lineRule="exact"/>
        <w:ind w:firstLine="720"/>
        <w:jc w:val="both"/>
        <w:rPr>
          <w:iCs/>
          <w:color w:val="000000" w:themeColor="text1"/>
          <w:highlight w:val="white"/>
          <w:lang w:val="vi-VN"/>
        </w:rPr>
      </w:pPr>
      <w:r w:rsidRPr="00C411F0">
        <w:rPr>
          <w:i/>
          <w:color w:val="000000" w:themeColor="text1"/>
          <w:highlight w:val="white"/>
          <w:lang w:val="vi-VN"/>
        </w:rPr>
        <w:t xml:space="preserve">- </w:t>
      </w:r>
      <w:r w:rsidRPr="00C411F0">
        <w:rPr>
          <w:i/>
          <w:color w:val="000000" w:themeColor="text1"/>
          <w:highlight w:val="white"/>
          <w:lang w:val="nl-NL"/>
        </w:rPr>
        <w:t>Tác động tích</w:t>
      </w:r>
      <w:r w:rsidRPr="00C411F0">
        <w:rPr>
          <w:i/>
          <w:color w:val="000000" w:themeColor="text1"/>
          <w:highlight w:val="white"/>
          <w:lang w:val="vi-VN"/>
        </w:rPr>
        <w:t xml:space="preserve"> </w:t>
      </w:r>
      <w:r w:rsidRPr="00C411F0">
        <w:rPr>
          <w:i/>
          <w:color w:val="000000" w:themeColor="text1"/>
          <w:highlight w:val="white"/>
          <w:lang w:val="nl-NL"/>
        </w:rPr>
        <w:t>cực:</w:t>
      </w:r>
      <w:r w:rsidRPr="00C411F0">
        <w:rPr>
          <w:i/>
          <w:color w:val="000000" w:themeColor="text1"/>
          <w:highlight w:val="white"/>
          <w:lang w:val="vi-VN"/>
        </w:rPr>
        <w:t xml:space="preserve"> </w:t>
      </w:r>
      <w:r w:rsidRPr="00C411F0">
        <w:rPr>
          <w:iCs/>
          <w:color w:val="000000" w:themeColor="text1"/>
          <w:highlight w:val="white"/>
          <w:lang w:val="vi-VN"/>
        </w:rPr>
        <w:t>Phương án giữ nguyên hiện trạng không có tác động tích cực đối với người dân.</w:t>
      </w:r>
    </w:p>
    <w:p w14:paraId="6775AB45" w14:textId="2783C6FF" w:rsidR="00D768D0" w:rsidRPr="00C411F0" w:rsidRDefault="00D768D0" w:rsidP="00255F30">
      <w:pPr>
        <w:widowControl w:val="0"/>
        <w:spacing w:before="120" w:line="340" w:lineRule="exact"/>
        <w:ind w:firstLine="720"/>
        <w:jc w:val="both"/>
        <w:rPr>
          <w:i/>
          <w:color w:val="000000" w:themeColor="text1"/>
          <w:highlight w:val="white"/>
          <w:lang w:val="vi-VN"/>
        </w:rPr>
      </w:pPr>
      <w:r w:rsidRPr="00C411F0">
        <w:rPr>
          <w:i/>
          <w:color w:val="000000" w:themeColor="text1"/>
          <w:highlight w:val="white"/>
          <w:lang w:val="vi-VN"/>
        </w:rPr>
        <w:t xml:space="preserve">- Tác động tiêu cực: </w:t>
      </w:r>
      <w:r w:rsidRPr="00C411F0">
        <w:rPr>
          <w:iCs/>
          <w:color w:val="000000" w:themeColor="text1"/>
          <w:highlight w:val="white"/>
          <w:lang w:val="vi-VN"/>
        </w:rPr>
        <w:t>Như đã nêu trên, việc thiếu quy định pháp lý rõ ràng về tiêu chí môi trường đối với dự án được cấp tín dụng xanh, phát hành TPX, không có danh mục phân loại xanh với các tiêu chí môi trường sẽ có khả năng dẫn đến: 1)</w:t>
      </w:r>
      <w:r w:rsidR="008127E4" w:rsidRPr="00C411F0">
        <w:rPr>
          <w:iCs/>
          <w:color w:val="000000" w:themeColor="text1"/>
          <w:highlight w:val="white"/>
          <w:lang w:val="vi-VN"/>
        </w:rPr>
        <w:t xml:space="preserve"> Nhà nước không đạt được mục tiêu môi trường, phát triển bền vững như đã đặt ra; 2) Có những dự án có lợi cho môi trường</w:t>
      </w:r>
      <w:r w:rsidR="000816D8" w:rsidRPr="00C411F0">
        <w:rPr>
          <w:iCs/>
          <w:color w:val="000000" w:themeColor="text1"/>
          <w:highlight w:val="white"/>
          <w:lang w:val="vi-VN"/>
        </w:rPr>
        <w:t>, dự án đang chuyển dịch từ nâu sang xanh</w:t>
      </w:r>
      <w:r w:rsidR="008127E4" w:rsidRPr="00C411F0">
        <w:rPr>
          <w:iCs/>
          <w:color w:val="000000" w:themeColor="text1"/>
          <w:highlight w:val="white"/>
          <w:lang w:val="vi-VN"/>
        </w:rPr>
        <w:t xml:space="preserve"> nhưng thiếu căn cứ</w:t>
      </w:r>
      <w:r w:rsidR="000816D8" w:rsidRPr="00C411F0">
        <w:rPr>
          <w:iCs/>
          <w:color w:val="000000" w:themeColor="text1"/>
          <w:highlight w:val="white"/>
          <w:lang w:val="vi-VN"/>
        </w:rPr>
        <w:t>, không có cơ hội</w:t>
      </w:r>
      <w:r w:rsidR="008127E4" w:rsidRPr="00C411F0">
        <w:rPr>
          <w:iCs/>
          <w:color w:val="000000" w:themeColor="text1"/>
          <w:highlight w:val="white"/>
          <w:lang w:val="vi-VN"/>
        </w:rPr>
        <w:t xml:space="preserve"> để vay vốn hoặc huy động nguồn vốn </w:t>
      </w:r>
      <w:r w:rsidR="000816D8" w:rsidRPr="00C411F0">
        <w:rPr>
          <w:iCs/>
          <w:color w:val="000000" w:themeColor="text1"/>
          <w:highlight w:val="white"/>
          <w:lang w:val="vi-VN"/>
        </w:rPr>
        <w:t xml:space="preserve">thực hiện </w:t>
      </w:r>
      <w:r w:rsidR="008127E4" w:rsidRPr="00C411F0">
        <w:rPr>
          <w:iCs/>
          <w:color w:val="000000" w:themeColor="text1"/>
          <w:highlight w:val="white"/>
          <w:lang w:val="vi-VN"/>
        </w:rPr>
        <w:t xml:space="preserve">do không có trong danh sách xanh theo các hướng dẫn chuyên ngành hiện hành; 3) Xảy ra các trường hợp dự án “tẩy xanh” (green washing) - được cấp tín dụng xanh, phát hành trái phiếu xanh nhưng thực chất vẫn gây ô nhiễm môi trường. </w:t>
      </w:r>
      <w:r w:rsidR="000816D8" w:rsidRPr="00C411F0">
        <w:rPr>
          <w:iCs/>
          <w:color w:val="000000" w:themeColor="text1"/>
          <w:highlight w:val="white"/>
          <w:lang w:val="vi-VN"/>
        </w:rPr>
        <w:t>Tất cả các trường hợp nêu trên đều dẫn đến hậu quả làm gia tăng mức độ ô nhiễm, suy giảm chất lượng môi trường sống; qua đó gián tiếp gây thiệt hại về kinh tế cho người dân, cộng đồng dân cư vì những ảnh hưởng tiêu cực đến sức khoẻ và chất lượng môi trường sống.</w:t>
      </w:r>
    </w:p>
    <w:p w14:paraId="1A826210" w14:textId="09C1F333" w:rsidR="000816D8" w:rsidRPr="009605FD" w:rsidRDefault="000816D8" w:rsidP="00255F30">
      <w:pPr>
        <w:widowControl w:val="0"/>
        <w:spacing w:before="120" w:line="340" w:lineRule="exact"/>
        <w:ind w:firstLine="720"/>
        <w:rPr>
          <w:b/>
          <w:bCs/>
          <w:i/>
          <w:color w:val="000000" w:themeColor="text1"/>
          <w:lang w:val="vi-VN"/>
        </w:rPr>
      </w:pPr>
      <w:r w:rsidRPr="009605FD">
        <w:rPr>
          <w:b/>
          <w:bCs/>
          <w:i/>
          <w:color w:val="000000" w:themeColor="text1"/>
          <w:lang w:val="vi-VN"/>
        </w:rPr>
        <w:t>b</w:t>
      </w:r>
      <w:r w:rsidRPr="00C411F0">
        <w:rPr>
          <w:b/>
          <w:bCs/>
          <w:i/>
          <w:color w:val="000000" w:themeColor="text1"/>
          <w:lang w:val="vi-VN"/>
        </w:rPr>
        <w:t>)</w:t>
      </w:r>
      <w:r w:rsidRPr="009605FD">
        <w:rPr>
          <w:b/>
          <w:bCs/>
          <w:i/>
          <w:color w:val="000000" w:themeColor="text1"/>
          <w:lang w:val="vi-VN"/>
        </w:rPr>
        <w:t xml:space="preserve"> Tác động về xã hội: </w:t>
      </w:r>
    </w:p>
    <w:p w14:paraId="4C2AE4B8" w14:textId="203F07CC" w:rsidR="000816D8" w:rsidRPr="00C411F0" w:rsidRDefault="000816D8" w:rsidP="00255F30">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Đối với Nhà nước: </w:t>
      </w:r>
    </w:p>
    <w:p w14:paraId="1A3B521B" w14:textId="11DDD268" w:rsidR="000816D8" w:rsidRPr="00C411F0" w:rsidRDefault="00053DBD"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i/>
          <w:iCs/>
          <w:color w:val="000000" w:themeColor="text1"/>
          <w:sz w:val="28"/>
          <w:szCs w:val="28"/>
          <w:lang w:val="vi-VN"/>
        </w:rPr>
        <w:t xml:space="preserve">- </w:t>
      </w:r>
      <w:r w:rsidR="000816D8" w:rsidRPr="009605FD">
        <w:rPr>
          <w:bCs/>
          <w:i/>
          <w:iCs/>
          <w:color w:val="000000" w:themeColor="text1"/>
          <w:sz w:val="28"/>
          <w:szCs w:val="28"/>
          <w:lang w:val="vi-VN"/>
        </w:rPr>
        <w:t>Tác</w:t>
      </w:r>
      <w:r w:rsidR="000816D8" w:rsidRPr="00C411F0">
        <w:rPr>
          <w:bCs/>
          <w:i/>
          <w:iCs/>
          <w:color w:val="000000" w:themeColor="text1"/>
          <w:sz w:val="28"/>
          <w:szCs w:val="28"/>
          <w:lang w:val="vi-VN"/>
        </w:rPr>
        <w:t xml:space="preserve"> động tích cực:</w:t>
      </w:r>
      <w:r w:rsidR="000816D8" w:rsidRPr="00C411F0">
        <w:rPr>
          <w:bCs/>
          <w:color w:val="000000" w:themeColor="text1"/>
          <w:sz w:val="28"/>
          <w:szCs w:val="28"/>
          <w:lang w:val="vi-VN"/>
        </w:rPr>
        <w:t xml:space="preserve"> </w:t>
      </w:r>
      <w:r w:rsidR="000816D8" w:rsidRPr="009605FD">
        <w:rPr>
          <w:bCs/>
          <w:color w:val="000000" w:themeColor="text1"/>
          <w:sz w:val="28"/>
          <w:szCs w:val="28"/>
          <w:lang w:val="vi-VN"/>
        </w:rPr>
        <w:t>Phương án giữ</w:t>
      </w:r>
      <w:r w:rsidR="000816D8" w:rsidRPr="00C411F0">
        <w:rPr>
          <w:bCs/>
          <w:color w:val="000000" w:themeColor="text1"/>
          <w:sz w:val="28"/>
          <w:szCs w:val="28"/>
          <w:lang w:val="vi-VN"/>
        </w:rPr>
        <w:t xml:space="preserve"> nguyên hiện trạng</w:t>
      </w:r>
      <w:r w:rsidR="000816D8" w:rsidRPr="009605FD">
        <w:rPr>
          <w:bCs/>
          <w:color w:val="000000" w:themeColor="text1"/>
          <w:sz w:val="28"/>
          <w:szCs w:val="28"/>
          <w:lang w:val="vi-VN"/>
        </w:rPr>
        <w:t xml:space="preserve"> không mang</w:t>
      </w:r>
      <w:r w:rsidR="000816D8" w:rsidRPr="00C411F0">
        <w:rPr>
          <w:bCs/>
          <w:color w:val="000000" w:themeColor="text1"/>
          <w:sz w:val="28"/>
          <w:szCs w:val="28"/>
          <w:lang w:val="vi-VN"/>
        </w:rPr>
        <w:t xml:space="preserve"> lại tác động tích cực cho Nhà nước về mặt xã hội.</w:t>
      </w:r>
    </w:p>
    <w:p w14:paraId="24954242" w14:textId="00E89839" w:rsidR="000816D8" w:rsidRPr="00C411F0" w:rsidRDefault="00A278E4" w:rsidP="00255F30">
      <w:pPr>
        <w:pStyle w:val="NormalWeb"/>
        <w:widowControl w:val="0"/>
        <w:shd w:val="clear" w:color="auto" w:fill="FFFFFF"/>
        <w:spacing w:before="120" w:beforeAutospacing="0" w:after="0" w:afterAutospacing="0" w:line="340" w:lineRule="exact"/>
        <w:ind w:firstLine="720"/>
        <w:rPr>
          <w:bCs/>
          <w:i/>
          <w:iCs/>
          <w:color w:val="000000" w:themeColor="text1"/>
          <w:sz w:val="28"/>
          <w:szCs w:val="28"/>
          <w:lang w:val="vi-VN"/>
        </w:rPr>
      </w:pPr>
      <w:r w:rsidRPr="00C411F0">
        <w:rPr>
          <w:bCs/>
          <w:i/>
          <w:iCs/>
          <w:color w:val="000000" w:themeColor="text1"/>
          <w:sz w:val="28"/>
          <w:szCs w:val="28"/>
          <w:lang w:val="vi-VN"/>
        </w:rPr>
        <w:t>- Tác động tiêu cực:</w:t>
      </w:r>
      <w:r w:rsidR="000816D8" w:rsidRPr="00C411F0">
        <w:rPr>
          <w:bCs/>
          <w:i/>
          <w:iCs/>
          <w:color w:val="000000" w:themeColor="text1"/>
          <w:sz w:val="28"/>
          <w:szCs w:val="28"/>
          <w:lang w:val="vi-VN"/>
        </w:rPr>
        <w:t xml:space="preserve"> </w:t>
      </w:r>
    </w:p>
    <w:p w14:paraId="762468EB" w14:textId="0F5E5FB5" w:rsidR="00A278E4" w:rsidRPr="00C411F0" w:rsidRDefault="00A278E4"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Việc thiếu các quy định pháp lý và kỹ thuật như tiêu chí môi trường và danh mục phân loại dự án xanh sẽ </w:t>
      </w:r>
      <w:r w:rsidR="00A352F2" w:rsidRPr="00C411F0">
        <w:rPr>
          <w:bCs/>
          <w:color w:val="000000" w:themeColor="text1"/>
          <w:sz w:val="28"/>
          <w:szCs w:val="28"/>
          <w:lang w:val="vi-VN"/>
        </w:rPr>
        <w:t xml:space="preserve">gây khó khăn </w:t>
      </w:r>
      <w:r w:rsidR="008107B7" w:rsidRPr="00C411F0">
        <w:rPr>
          <w:bCs/>
          <w:color w:val="000000" w:themeColor="text1"/>
          <w:sz w:val="28"/>
          <w:szCs w:val="28"/>
          <w:lang w:val="vi-VN"/>
        </w:rPr>
        <w:t xml:space="preserve">cho Nhà nước (các cơ quan quản lý) </w:t>
      </w:r>
      <w:r w:rsidR="00A352F2" w:rsidRPr="00C411F0">
        <w:rPr>
          <w:bCs/>
          <w:color w:val="000000" w:themeColor="text1"/>
          <w:sz w:val="28"/>
          <w:szCs w:val="28"/>
          <w:lang w:val="vi-VN"/>
        </w:rPr>
        <w:t xml:space="preserve">trong việc theo dõi, đánh giá, quản lý, điều hành chính sách tín dụng xanh, trái phiếu xanh; dẫn đến </w:t>
      </w:r>
      <w:r w:rsidRPr="00C411F0">
        <w:rPr>
          <w:bCs/>
          <w:color w:val="000000" w:themeColor="text1"/>
          <w:sz w:val="28"/>
          <w:szCs w:val="28"/>
          <w:lang w:val="vi-VN"/>
        </w:rPr>
        <w:t>hạn chế hiệu quả của chính sách tín dụng xanh, trái phiếu xanh, đi kèm với đó là không thực sự huy động được nguồn lực tư nhân đầu tư vào để thực hiện các mục tiêu môi trường</w:t>
      </w:r>
      <w:r w:rsidR="008107B7" w:rsidRPr="00C411F0">
        <w:rPr>
          <w:bCs/>
          <w:color w:val="000000" w:themeColor="text1"/>
          <w:sz w:val="28"/>
          <w:szCs w:val="28"/>
          <w:lang w:val="vi-VN"/>
        </w:rPr>
        <w:t>, không phân bổ hiệu quả hoặc</w:t>
      </w:r>
      <w:r w:rsidRPr="00C411F0">
        <w:rPr>
          <w:bCs/>
          <w:color w:val="000000" w:themeColor="text1"/>
          <w:sz w:val="28"/>
          <w:szCs w:val="28"/>
          <w:lang w:val="vi-VN"/>
        </w:rPr>
        <w:t xml:space="preserve"> không bảo đảm được </w:t>
      </w:r>
      <w:r w:rsidR="00753A24" w:rsidRPr="00C411F0">
        <w:rPr>
          <w:bCs/>
          <w:color w:val="000000" w:themeColor="text1"/>
          <w:sz w:val="28"/>
          <w:szCs w:val="28"/>
          <w:lang w:val="vi-VN"/>
        </w:rPr>
        <w:t xml:space="preserve">nguồn lực thực hiện </w:t>
      </w:r>
      <w:r w:rsidRPr="00C411F0">
        <w:rPr>
          <w:bCs/>
          <w:color w:val="000000" w:themeColor="text1"/>
          <w:sz w:val="28"/>
          <w:szCs w:val="28"/>
          <w:lang w:val="vi-VN"/>
        </w:rPr>
        <w:t>các mục tiêu môi trường, phát triển bền vững như đã đặt ra</w:t>
      </w:r>
      <w:r w:rsidR="00B12C1C" w:rsidRPr="00C411F0">
        <w:rPr>
          <w:bCs/>
          <w:color w:val="000000" w:themeColor="text1"/>
          <w:sz w:val="28"/>
          <w:szCs w:val="28"/>
          <w:lang w:val="vi-VN"/>
        </w:rPr>
        <w:t xml:space="preserve"> (</w:t>
      </w:r>
      <w:r w:rsidR="008107B7" w:rsidRPr="00C411F0">
        <w:rPr>
          <w:bCs/>
          <w:color w:val="000000" w:themeColor="text1"/>
          <w:sz w:val="28"/>
          <w:szCs w:val="28"/>
          <w:lang w:val="vi-VN"/>
        </w:rPr>
        <w:t xml:space="preserve">Nhà nước </w:t>
      </w:r>
      <w:r w:rsidR="00B12C1C" w:rsidRPr="00C411F0">
        <w:rPr>
          <w:bCs/>
          <w:color w:val="000000" w:themeColor="text1"/>
          <w:sz w:val="28"/>
          <w:szCs w:val="28"/>
          <w:lang w:val="vi-VN"/>
        </w:rPr>
        <w:t>thất bại trong quản trị)</w:t>
      </w:r>
      <w:r w:rsidRPr="00C411F0">
        <w:rPr>
          <w:bCs/>
          <w:color w:val="000000" w:themeColor="text1"/>
          <w:sz w:val="28"/>
          <w:szCs w:val="28"/>
          <w:lang w:val="vi-VN"/>
        </w:rPr>
        <w:t>.</w:t>
      </w:r>
      <w:r w:rsidR="00E40781" w:rsidRPr="00C411F0">
        <w:rPr>
          <w:bCs/>
          <w:color w:val="000000" w:themeColor="text1"/>
          <w:sz w:val="28"/>
          <w:szCs w:val="28"/>
          <w:lang w:val="vi-VN"/>
        </w:rPr>
        <w:t xml:space="preserve"> Đồng thời, gây ra tình trạng không thống nhất, đồng bộ trong hệ thống pháp luật hiện hành, giảm hiệu lực, hiệu quả của các chính sách, quy định về tín dụng xanh, trái phiếu xanh </w:t>
      </w:r>
      <w:r w:rsidR="00B12C1C" w:rsidRPr="00C411F0">
        <w:rPr>
          <w:bCs/>
          <w:color w:val="000000" w:themeColor="text1"/>
          <w:sz w:val="28"/>
          <w:szCs w:val="28"/>
          <w:lang w:val="vi-VN"/>
        </w:rPr>
        <w:t xml:space="preserve">đã được quy định trong </w:t>
      </w:r>
      <w:r w:rsidR="00E40781" w:rsidRPr="00C411F0">
        <w:rPr>
          <w:bCs/>
          <w:color w:val="000000" w:themeColor="text1"/>
          <w:sz w:val="28"/>
          <w:szCs w:val="28"/>
          <w:lang w:val="vi-VN"/>
        </w:rPr>
        <w:t xml:space="preserve">Luật BVMT 2020 và Nghị định 08/2022/NĐ-CP. </w:t>
      </w:r>
      <w:r w:rsidR="00B12C1C" w:rsidRPr="00C411F0">
        <w:rPr>
          <w:bCs/>
          <w:color w:val="000000" w:themeColor="text1"/>
          <w:sz w:val="28"/>
          <w:szCs w:val="28"/>
          <w:lang w:val="vi-VN"/>
        </w:rPr>
        <w:t xml:space="preserve">Những vấn đề trên sẽ </w:t>
      </w:r>
      <w:r w:rsidR="00E40781" w:rsidRPr="00C411F0">
        <w:rPr>
          <w:bCs/>
          <w:color w:val="000000" w:themeColor="text1"/>
          <w:sz w:val="28"/>
          <w:szCs w:val="28"/>
          <w:lang w:val="vi-VN"/>
        </w:rPr>
        <w:t>làm giảm uy tín</w:t>
      </w:r>
      <w:r w:rsidR="00B12C1C" w:rsidRPr="00C411F0">
        <w:rPr>
          <w:bCs/>
          <w:color w:val="000000" w:themeColor="text1"/>
          <w:sz w:val="28"/>
          <w:szCs w:val="28"/>
          <w:lang w:val="vi-VN"/>
        </w:rPr>
        <w:t>, hình ảnh</w:t>
      </w:r>
      <w:r w:rsidR="00E40781" w:rsidRPr="00C411F0">
        <w:rPr>
          <w:bCs/>
          <w:color w:val="000000" w:themeColor="text1"/>
          <w:sz w:val="28"/>
          <w:szCs w:val="28"/>
          <w:lang w:val="vi-VN"/>
        </w:rPr>
        <w:t xml:space="preserve"> của Nhà nước </w:t>
      </w:r>
      <w:r w:rsidR="00B12C1C" w:rsidRPr="00C411F0">
        <w:rPr>
          <w:bCs/>
          <w:color w:val="000000" w:themeColor="text1"/>
          <w:sz w:val="28"/>
          <w:szCs w:val="28"/>
          <w:lang w:val="vi-VN"/>
        </w:rPr>
        <w:t xml:space="preserve">Việt Nam </w:t>
      </w:r>
      <w:r w:rsidR="00E40781" w:rsidRPr="00C411F0">
        <w:rPr>
          <w:bCs/>
          <w:color w:val="000000" w:themeColor="text1"/>
          <w:sz w:val="28"/>
          <w:szCs w:val="28"/>
          <w:lang w:val="vi-VN"/>
        </w:rPr>
        <w:t>đối với người dân và cộng đồng quốc tế.</w:t>
      </w:r>
    </w:p>
    <w:p w14:paraId="4DCE1A1C" w14:textId="77777777" w:rsidR="00107263" w:rsidRPr="00C411F0" w:rsidRDefault="00107263" w:rsidP="00255F30">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lastRenderedPageBreak/>
        <w:t>* Đối với doanh nghiệp:</w:t>
      </w:r>
    </w:p>
    <w:p w14:paraId="64E79CD3" w14:textId="72A1ED32" w:rsidR="008603E2" w:rsidRPr="00C411F0" w:rsidRDefault="00A0629F" w:rsidP="00255F30">
      <w:pPr>
        <w:widowControl w:val="0"/>
        <w:spacing w:before="120" w:line="340" w:lineRule="exact"/>
        <w:ind w:firstLine="720"/>
        <w:jc w:val="both"/>
        <w:rPr>
          <w:bCs/>
          <w:color w:val="000000" w:themeColor="text1"/>
          <w:lang w:val="vi-VN"/>
        </w:rPr>
      </w:pPr>
      <w:r w:rsidRPr="00C411F0">
        <w:rPr>
          <w:b/>
          <w:bCs/>
          <w:i/>
          <w:color w:val="000000" w:themeColor="text1"/>
          <w:lang w:val="vi-VN"/>
        </w:rPr>
        <w:t xml:space="preserve">- </w:t>
      </w:r>
      <w:r w:rsidRPr="00C411F0">
        <w:rPr>
          <w:bCs/>
          <w:i/>
          <w:iCs/>
          <w:color w:val="000000" w:themeColor="text1"/>
          <w:lang w:val="vi-VN"/>
        </w:rPr>
        <w:t>Tác động tích cực:</w:t>
      </w:r>
      <w:r w:rsidRPr="00C411F0">
        <w:rPr>
          <w:bCs/>
          <w:color w:val="000000" w:themeColor="text1"/>
          <w:lang w:val="vi-VN"/>
        </w:rPr>
        <w:t xml:space="preserve"> </w:t>
      </w:r>
      <w:r w:rsidR="008603E2" w:rsidRPr="009605FD">
        <w:rPr>
          <w:bCs/>
          <w:color w:val="000000" w:themeColor="text1"/>
          <w:lang w:val="vi-VN"/>
        </w:rPr>
        <w:t>Phương án giữ</w:t>
      </w:r>
      <w:r w:rsidR="008603E2" w:rsidRPr="00C411F0">
        <w:rPr>
          <w:bCs/>
          <w:color w:val="000000" w:themeColor="text1"/>
          <w:lang w:val="vi-VN"/>
        </w:rPr>
        <w:t xml:space="preserve"> nguyên hiện trạng</w:t>
      </w:r>
      <w:r w:rsidR="008603E2" w:rsidRPr="009605FD">
        <w:rPr>
          <w:bCs/>
          <w:color w:val="000000" w:themeColor="text1"/>
          <w:lang w:val="vi-VN"/>
        </w:rPr>
        <w:t xml:space="preserve"> không mang</w:t>
      </w:r>
      <w:r w:rsidR="008603E2" w:rsidRPr="00C411F0">
        <w:rPr>
          <w:bCs/>
          <w:color w:val="000000" w:themeColor="text1"/>
          <w:lang w:val="vi-VN"/>
        </w:rPr>
        <w:t xml:space="preserve"> lại tác động tích cực cho các doanh nghiệp về mặt xã hội.</w:t>
      </w:r>
    </w:p>
    <w:p w14:paraId="53894031" w14:textId="249EA818" w:rsidR="00A0629F" w:rsidRPr="00C411F0" w:rsidRDefault="008603E2" w:rsidP="00255F30">
      <w:pPr>
        <w:widowControl w:val="0"/>
        <w:spacing w:before="120" w:line="340" w:lineRule="exact"/>
        <w:ind w:firstLine="720"/>
        <w:jc w:val="both"/>
        <w:rPr>
          <w:i/>
          <w:iCs/>
          <w:color w:val="000000" w:themeColor="text1"/>
          <w:highlight w:val="white"/>
          <w:lang w:val="vi-VN"/>
        </w:rPr>
      </w:pPr>
      <w:r w:rsidRPr="00C411F0">
        <w:rPr>
          <w:bCs/>
          <w:i/>
          <w:iCs/>
          <w:color w:val="000000" w:themeColor="text1"/>
          <w:lang w:val="vi-VN"/>
        </w:rPr>
        <w:t xml:space="preserve">- </w:t>
      </w:r>
      <w:r w:rsidR="00641676" w:rsidRPr="00C411F0">
        <w:rPr>
          <w:bCs/>
          <w:i/>
          <w:iCs/>
          <w:color w:val="000000" w:themeColor="text1"/>
          <w:lang w:val="vi-VN"/>
        </w:rPr>
        <w:t xml:space="preserve">Tác động tiêu cực: </w:t>
      </w:r>
    </w:p>
    <w:p w14:paraId="5370856C" w14:textId="4BED94FC" w:rsidR="00A0629F" w:rsidRPr="00C411F0" w:rsidRDefault="00A0629F" w:rsidP="00255F30">
      <w:pPr>
        <w:widowControl w:val="0"/>
        <w:spacing w:before="120" w:line="340" w:lineRule="exact"/>
        <w:ind w:firstLine="720"/>
        <w:jc w:val="both"/>
        <w:rPr>
          <w:bCs/>
          <w:color w:val="000000" w:themeColor="text1"/>
          <w:lang w:val="vi-VN"/>
        </w:rPr>
      </w:pPr>
      <w:r w:rsidRPr="00C411F0">
        <w:rPr>
          <w:bCs/>
          <w:i/>
          <w:iCs/>
          <w:color w:val="000000" w:themeColor="text1"/>
          <w:lang w:val="vi-VN"/>
        </w:rPr>
        <w:t>+</w:t>
      </w:r>
      <w:r w:rsidRPr="009605FD">
        <w:rPr>
          <w:bCs/>
          <w:i/>
          <w:iCs/>
          <w:color w:val="000000" w:themeColor="text1"/>
          <w:lang w:val="vi-VN"/>
        </w:rPr>
        <w:t xml:space="preserve"> Đối với các TCTD</w:t>
      </w:r>
      <w:r w:rsidRPr="00C411F0">
        <w:rPr>
          <w:bCs/>
          <w:i/>
          <w:iCs/>
          <w:color w:val="000000" w:themeColor="text1"/>
          <w:lang w:val="vi-VN"/>
        </w:rPr>
        <w:t>, chủ thể phát hành trái phiếu</w:t>
      </w:r>
      <w:r w:rsidRPr="009605FD">
        <w:rPr>
          <w:bCs/>
          <w:i/>
          <w:iCs/>
          <w:color w:val="000000" w:themeColor="text1"/>
          <w:lang w:val="vi-VN"/>
        </w:rPr>
        <w:t>:</w:t>
      </w:r>
      <w:r w:rsidRPr="009605FD">
        <w:rPr>
          <w:bCs/>
          <w:color w:val="000000" w:themeColor="text1"/>
          <w:lang w:val="vi-VN"/>
        </w:rPr>
        <w:t xml:space="preserve"> Trên</w:t>
      </w:r>
      <w:r w:rsidRPr="00C411F0">
        <w:rPr>
          <w:bCs/>
          <w:color w:val="000000" w:themeColor="text1"/>
          <w:lang w:val="vi-VN"/>
        </w:rPr>
        <w:t xml:space="preserve"> thực tế, việc chỉ có các văn bản hướng dẫn, định hướng chung mà chưa có</w:t>
      </w:r>
      <w:r w:rsidRPr="00C411F0">
        <w:rPr>
          <w:color w:val="000000" w:themeColor="text1"/>
          <w:lang w:val="pt-PT"/>
        </w:rPr>
        <w:t xml:space="preserve"> các quy định mang tính bắt buộc, rõ</w:t>
      </w:r>
      <w:r w:rsidRPr="00C411F0">
        <w:rPr>
          <w:color w:val="000000" w:themeColor="text1"/>
          <w:lang w:val="vi-VN"/>
        </w:rPr>
        <w:t xml:space="preserve"> ràng </w:t>
      </w:r>
      <w:r w:rsidRPr="00C411F0">
        <w:rPr>
          <w:color w:val="000000" w:themeColor="text1"/>
          <w:lang w:val="pt-PT"/>
        </w:rPr>
        <w:t>dẫn đến việc triển khai khác nhau giữa các ngân hàng</w:t>
      </w:r>
      <w:r w:rsidRPr="00C411F0">
        <w:rPr>
          <w:color w:val="000000" w:themeColor="text1"/>
          <w:lang w:val="vi-VN"/>
        </w:rPr>
        <w:t xml:space="preserve">. </w:t>
      </w:r>
      <w:r w:rsidRPr="00C411F0">
        <w:rPr>
          <w:color w:val="000000" w:themeColor="text1"/>
          <w:lang w:val="cs-CZ"/>
        </w:rPr>
        <w:t>Các TCTD không thực hiện hoặc thực hiện nhưng không nghiêm túc sẽ đưa ra ít điều kiện hơn đối với khách hàng, dẫn đến khó khăn</w:t>
      </w:r>
      <w:r w:rsidRPr="00C411F0">
        <w:rPr>
          <w:color w:val="000000" w:themeColor="text1"/>
          <w:lang w:val="vi-VN"/>
        </w:rPr>
        <w:t xml:space="preserve"> cũng như không công bằng</w:t>
      </w:r>
      <w:r w:rsidRPr="00C411F0">
        <w:rPr>
          <w:color w:val="000000" w:themeColor="text1"/>
          <w:lang w:val="cs-CZ"/>
        </w:rPr>
        <w:t xml:space="preserve"> cho các TCTD thực hiện nghiêm túc</w:t>
      </w:r>
      <w:r w:rsidRPr="00C411F0">
        <w:rPr>
          <w:rStyle w:val="FootnoteReference"/>
          <w:color w:val="000000" w:themeColor="text1"/>
          <w:lang w:val="cs-CZ"/>
        </w:rPr>
        <w:footnoteReference w:id="16"/>
      </w:r>
      <w:r w:rsidRPr="00C411F0">
        <w:rPr>
          <w:color w:val="000000" w:themeColor="text1"/>
          <w:lang w:val="cs-CZ"/>
        </w:rPr>
        <w:t>.</w:t>
      </w:r>
      <w:r w:rsidRPr="00C411F0">
        <w:rPr>
          <w:color w:val="000000" w:themeColor="text1"/>
          <w:lang w:val="vi-VN"/>
        </w:rPr>
        <w:t xml:space="preserve"> </w:t>
      </w:r>
    </w:p>
    <w:p w14:paraId="266FCA32" w14:textId="3A92A921" w:rsidR="00181C08" w:rsidRPr="00C411F0" w:rsidRDefault="00A0629F" w:rsidP="00255F30">
      <w:pPr>
        <w:widowControl w:val="0"/>
        <w:spacing w:before="120" w:line="340" w:lineRule="exact"/>
        <w:ind w:firstLine="720"/>
        <w:jc w:val="both"/>
        <w:rPr>
          <w:bCs/>
          <w:color w:val="000000" w:themeColor="text1"/>
          <w:lang w:val="vi-VN"/>
        </w:rPr>
      </w:pPr>
      <w:r w:rsidRPr="00C411F0">
        <w:rPr>
          <w:bCs/>
          <w:i/>
          <w:iCs/>
          <w:color w:val="000000" w:themeColor="text1"/>
          <w:lang w:val="vi-VN"/>
        </w:rPr>
        <w:t xml:space="preserve">+ Đối với các chủ dự án và các nhà đầu tư (bao gồm các nhà tài trợ uỷ thác, cấp vốn xanh lẫn các </w:t>
      </w:r>
      <w:r w:rsidR="00FC71C0" w:rsidRPr="00C411F0">
        <w:rPr>
          <w:bCs/>
          <w:i/>
          <w:iCs/>
          <w:color w:val="000000" w:themeColor="text1"/>
          <w:lang w:val="vi-VN"/>
        </w:rPr>
        <w:t xml:space="preserve">nhà </w:t>
      </w:r>
      <w:r w:rsidRPr="00C411F0">
        <w:rPr>
          <w:bCs/>
          <w:i/>
          <w:iCs/>
          <w:color w:val="000000" w:themeColor="text1"/>
          <w:lang w:val="vi-VN"/>
        </w:rPr>
        <w:t>đầu tư mua trái phiếu xanh):</w:t>
      </w:r>
      <w:r w:rsidR="00181C08" w:rsidRPr="00C411F0">
        <w:rPr>
          <w:bCs/>
          <w:i/>
          <w:iCs/>
          <w:color w:val="000000" w:themeColor="text1"/>
          <w:lang w:val="vi-VN"/>
        </w:rPr>
        <w:t xml:space="preserve"> </w:t>
      </w:r>
      <w:r w:rsidR="00181C08" w:rsidRPr="00C411F0">
        <w:rPr>
          <w:bCs/>
          <w:color w:val="000000" w:themeColor="text1"/>
          <w:lang w:val="vi-VN"/>
        </w:rPr>
        <w:t>Như phân tích nêu trên, phương án giữ nguyên hiện trạng (không quy định</w:t>
      </w:r>
      <w:r w:rsidR="00753A24" w:rsidRPr="00C411F0">
        <w:rPr>
          <w:bCs/>
          <w:color w:val="000000" w:themeColor="text1"/>
          <w:lang w:val="vi-VN"/>
        </w:rPr>
        <w:t xml:space="preserve"> rõ ràng</w:t>
      </w:r>
      <w:r w:rsidR="00181C08" w:rsidRPr="00C411F0">
        <w:rPr>
          <w:bCs/>
          <w:color w:val="000000" w:themeColor="text1"/>
          <w:lang w:val="vi-VN"/>
        </w:rPr>
        <w:t xml:space="preserve"> tiêu chí môi trường và</w:t>
      </w:r>
      <w:r w:rsidR="00753A24" w:rsidRPr="00C411F0">
        <w:rPr>
          <w:bCs/>
          <w:color w:val="000000" w:themeColor="text1"/>
          <w:lang w:val="vi-VN"/>
        </w:rPr>
        <w:t xml:space="preserve"> </w:t>
      </w:r>
      <w:r w:rsidR="00181C08" w:rsidRPr="00C411F0">
        <w:rPr>
          <w:bCs/>
          <w:color w:val="000000" w:themeColor="text1"/>
          <w:lang w:val="vi-VN"/>
        </w:rPr>
        <w:t>danh mục phân loại xanh) dẫn đến</w:t>
      </w:r>
      <w:r w:rsidR="00753A24" w:rsidRPr="00C411F0">
        <w:rPr>
          <w:bCs/>
          <w:color w:val="000000" w:themeColor="text1"/>
          <w:lang w:val="vi-VN"/>
        </w:rPr>
        <w:t xml:space="preserve"> </w:t>
      </w:r>
      <w:r w:rsidR="00E82875" w:rsidRPr="00C411F0">
        <w:rPr>
          <w:bCs/>
          <w:color w:val="000000" w:themeColor="text1"/>
          <w:lang w:val="vi-VN"/>
        </w:rPr>
        <w:t>việc</w:t>
      </w:r>
      <w:r w:rsidR="00753A24" w:rsidRPr="00C411F0">
        <w:rPr>
          <w:bCs/>
          <w:color w:val="000000" w:themeColor="text1"/>
          <w:lang w:val="vi-VN"/>
        </w:rPr>
        <w:t xml:space="preserve"> các chủ dự án bị hạn chế cơ hội vay vốn hoặc huy động nguồn vốn thực hiện các dự án xanh</w:t>
      </w:r>
      <w:r w:rsidR="00E82875" w:rsidRPr="00C411F0">
        <w:rPr>
          <w:bCs/>
          <w:color w:val="000000" w:themeColor="text1"/>
          <w:lang w:val="vi-VN"/>
        </w:rPr>
        <w:t xml:space="preserve"> hoặc </w:t>
      </w:r>
      <w:r w:rsidR="00753A24" w:rsidRPr="00C411F0">
        <w:rPr>
          <w:bCs/>
          <w:color w:val="000000" w:themeColor="text1"/>
          <w:lang w:val="vi-VN"/>
        </w:rPr>
        <w:t xml:space="preserve">các nhà đầu tư </w:t>
      </w:r>
      <w:r w:rsidR="00E82875" w:rsidRPr="00C411F0">
        <w:rPr>
          <w:bCs/>
          <w:color w:val="000000" w:themeColor="text1"/>
          <w:lang w:val="vi-VN"/>
        </w:rPr>
        <w:t>không tham gia thị trường trái phiếu xanh do tâm lý e ngại, không tin tưởng. Điều này cũng đồng nghĩa với việc vai trò và trách nhiệm xã hội của các doanh nghiệp không được thể hiện và củng cố. Sự tin tưởng, gắn kết giữa doanh nghiệp với Nhà nước và người dân cũng không chặt chẽ.</w:t>
      </w:r>
    </w:p>
    <w:p w14:paraId="23F12DBA" w14:textId="0CD1D19F" w:rsidR="008107B7" w:rsidRPr="00C411F0" w:rsidRDefault="008107B7" w:rsidP="00255F30">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Đối với môi trường: </w:t>
      </w:r>
    </w:p>
    <w:p w14:paraId="7673EDD7" w14:textId="466ABDA6" w:rsidR="008107B7" w:rsidRPr="00C411F0" w:rsidRDefault="008107B7"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Mặc dù mục tiêu của các dự án xanh cũng như chủ trương, mục tiêu của chính sách tín dụng xanh, trái phiếu xanh là nhằm hướng đến bảo vệ môi trường, phát triển bền vững. Tuy nhiên </w:t>
      </w:r>
      <w:r w:rsidRPr="00C411F0">
        <w:rPr>
          <w:bCs/>
          <w:i/>
          <w:iCs/>
          <w:color w:val="000000" w:themeColor="text1"/>
          <w:sz w:val="28"/>
          <w:szCs w:val="28"/>
          <w:lang w:val="vi-VN"/>
        </w:rPr>
        <w:t xml:space="preserve">phương án giữ nguyên như hiện </w:t>
      </w:r>
      <w:r w:rsidR="00E158F4" w:rsidRPr="00C411F0">
        <w:rPr>
          <w:bCs/>
          <w:i/>
          <w:iCs/>
          <w:color w:val="000000" w:themeColor="text1"/>
          <w:sz w:val="28"/>
          <w:szCs w:val="28"/>
          <w:lang w:val="vi-VN"/>
        </w:rPr>
        <w:t>nay (không</w:t>
      </w:r>
      <w:r w:rsidRPr="00C411F0">
        <w:rPr>
          <w:bCs/>
          <w:i/>
          <w:iCs/>
          <w:color w:val="000000" w:themeColor="text1"/>
          <w:sz w:val="28"/>
          <w:szCs w:val="28"/>
          <w:lang w:val="vi-VN"/>
        </w:rPr>
        <w:t xml:space="preserve"> quy định tiêu chí môi trường</w:t>
      </w:r>
      <w:r w:rsidR="00E158F4" w:rsidRPr="00C411F0">
        <w:rPr>
          <w:bCs/>
          <w:i/>
          <w:iCs/>
          <w:color w:val="000000" w:themeColor="text1"/>
          <w:sz w:val="28"/>
          <w:szCs w:val="28"/>
          <w:lang w:val="vi-VN"/>
        </w:rPr>
        <w:t xml:space="preserve"> và không ban hành danh mục phân loại xanh) </w:t>
      </w:r>
      <w:r w:rsidR="00ED6624" w:rsidRPr="00C411F0">
        <w:rPr>
          <w:bCs/>
          <w:i/>
          <w:iCs/>
          <w:color w:val="000000" w:themeColor="text1"/>
          <w:sz w:val="28"/>
          <w:szCs w:val="28"/>
          <w:lang w:val="vi-VN"/>
        </w:rPr>
        <w:t xml:space="preserve">cũng </w:t>
      </w:r>
      <w:r w:rsidR="00E158F4" w:rsidRPr="00C411F0">
        <w:rPr>
          <w:bCs/>
          <w:i/>
          <w:iCs/>
          <w:color w:val="000000" w:themeColor="text1"/>
          <w:sz w:val="28"/>
          <w:szCs w:val="28"/>
          <w:lang w:val="vi-VN"/>
        </w:rPr>
        <w:t>sẽ tiềm ẩn những tác động tiêu cực lớn đến môi trường</w:t>
      </w:r>
      <w:r w:rsidR="00E158F4" w:rsidRPr="00C411F0">
        <w:rPr>
          <w:bCs/>
          <w:color w:val="000000" w:themeColor="text1"/>
          <w:sz w:val="28"/>
          <w:szCs w:val="28"/>
          <w:lang w:val="vi-VN"/>
        </w:rPr>
        <w:t xml:space="preserve"> do nguy cơ xảy ra những dự án không có tính xanh nhưng vẫn được vay vốn hoặc huy động nguồn vốn để triển khai thực hiện</w:t>
      </w:r>
      <w:r w:rsidRPr="00C411F0">
        <w:rPr>
          <w:bCs/>
          <w:color w:val="000000" w:themeColor="text1"/>
          <w:sz w:val="28"/>
          <w:szCs w:val="28"/>
          <w:lang w:val="vi-VN"/>
        </w:rPr>
        <w:t xml:space="preserve">. </w:t>
      </w:r>
      <w:r w:rsidR="00ED6624" w:rsidRPr="00C411F0">
        <w:rPr>
          <w:bCs/>
          <w:color w:val="000000" w:themeColor="text1"/>
          <w:sz w:val="28"/>
          <w:szCs w:val="28"/>
          <w:lang w:val="vi-VN"/>
        </w:rPr>
        <w:t xml:space="preserve">Đồng thời, </w:t>
      </w:r>
      <w:r w:rsidR="00ED6624" w:rsidRPr="00C411F0">
        <w:rPr>
          <w:bCs/>
          <w:i/>
          <w:iCs/>
          <w:color w:val="000000" w:themeColor="text1"/>
          <w:sz w:val="28"/>
          <w:szCs w:val="28"/>
          <w:lang w:val="vi-VN"/>
        </w:rPr>
        <w:t xml:space="preserve">các </w:t>
      </w:r>
      <w:r w:rsidR="00962C9B" w:rsidRPr="00C411F0">
        <w:rPr>
          <w:bCs/>
          <w:i/>
          <w:iCs/>
          <w:color w:val="000000" w:themeColor="text1"/>
          <w:sz w:val="28"/>
          <w:szCs w:val="28"/>
          <w:lang w:val="vi-VN"/>
        </w:rPr>
        <w:t xml:space="preserve">kế hoạch, chiến lược cấp quốc gia lẫn địa phương về bảo vệ </w:t>
      </w:r>
      <w:r w:rsidR="00ED6624" w:rsidRPr="00C411F0">
        <w:rPr>
          <w:bCs/>
          <w:i/>
          <w:iCs/>
          <w:color w:val="000000" w:themeColor="text1"/>
          <w:sz w:val="28"/>
          <w:szCs w:val="28"/>
          <w:lang w:val="vi-VN"/>
        </w:rPr>
        <w:t>môi trường</w:t>
      </w:r>
      <w:r w:rsidR="00962C9B" w:rsidRPr="00C411F0">
        <w:rPr>
          <w:bCs/>
          <w:i/>
          <w:iCs/>
          <w:color w:val="000000" w:themeColor="text1"/>
          <w:sz w:val="28"/>
          <w:szCs w:val="28"/>
          <w:lang w:val="vi-VN"/>
        </w:rPr>
        <w:t>, kinh tế tuần hoàn, tăng trưởng xanh, phát triển bền vững</w:t>
      </w:r>
      <w:r w:rsidR="00ED6624" w:rsidRPr="00C411F0">
        <w:rPr>
          <w:bCs/>
          <w:i/>
          <w:iCs/>
          <w:color w:val="000000" w:themeColor="text1"/>
          <w:sz w:val="28"/>
          <w:szCs w:val="28"/>
          <w:lang w:val="vi-VN"/>
        </w:rPr>
        <w:t xml:space="preserve"> </w:t>
      </w:r>
      <w:r w:rsidR="00962C9B" w:rsidRPr="00C411F0">
        <w:rPr>
          <w:bCs/>
          <w:i/>
          <w:iCs/>
          <w:color w:val="000000" w:themeColor="text1"/>
          <w:sz w:val="28"/>
          <w:szCs w:val="28"/>
          <w:lang w:val="vi-VN"/>
        </w:rPr>
        <w:t xml:space="preserve">đã ban hành </w:t>
      </w:r>
      <w:r w:rsidR="00ED6624" w:rsidRPr="00C411F0">
        <w:rPr>
          <w:bCs/>
          <w:i/>
          <w:iCs/>
          <w:color w:val="000000" w:themeColor="text1"/>
          <w:sz w:val="28"/>
          <w:szCs w:val="28"/>
          <w:lang w:val="vi-VN"/>
        </w:rPr>
        <w:t xml:space="preserve">cũng </w:t>
      </w:r>
      <w:r w:rsidR="00962C9B" w:rsidRPr="00C411F0">
        <w:rPr>
          <w:bCs/>
          <w:i/>
          <w:iCs/>
          <w:color w:val="000000" w:themeColor="text1"/>
          <w:sz w:val="28"/>
          <w:szCs w:val="28"/>
          <w:lang w:val="vi-VN"/>
        </w:rPr>
        <w:t>khó được bảo đảm</w:t>
      </w:r>
      <w:r w:rsidR="00962C9B" w:rsidRPr="00C411F0">
        <w:rPr>
          <w:bCs/>
          <w:color w:val="000000" w:themeColor="text1"/>
          <w:sz w:val="28"/>
          <w:szCs w:val="28"/>
          <w:lang w:val="vi-VN"/>
        </w:rPr>
        <w:t xml:space="preserve"> nếu không thực sự có sự gắn kết rõ ràng giữa hoạt động cấp tín dụng xanh, phát hành trái phiếu xanh với các mục tiêu môi trường thông qua các tiêu chí môi trường đối với các dự án được cấp tín dụng xanh, phát hành trái phiếu xanh. </w:t>
      </w:r>
    </w:p>
    <w:p w14:paraId="587856ED" w14:textId="62950B3B" w:rsidR="008107B7" w:rsidRPr="00C411F0" w:rsidRDefault="00ED6624" w:rsidP="00255F30">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w:t>
      </w:r>
      <w:r w:rsidR="008107B7" w:rsidRPr="00C411F0">
        <w:rPr>
          <w:b/>
          <w:bCs/>
          <w:i/>
          <w:color w:val="000000" w:themeColor="text1"/>
          <w:highlight w:val="white"/>
          <w:lang w:val="vi-VN"/>
        </w:rPr>
        <w:t xml:space="preserve">Đối với người dân: </w:t>
      </w:r>
    </w:p>
    <w:p w14:paraId="62988107" w14:textId="7D2291C2" w:rsidR="00FB05A6" w:rsidRPr="00C411F0" w:rsidRDefault="00FB05A6" w:rsidP="00255F30">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Niềm</w:t>
      </w:r>
      <w:r w:rsidRPr="00C411F0">
        <w:rPr>
          <w:bCs/>
          <w:color w:val="000000" w:themeColor="text1"/>
          <w:sz w:val="28"/>
          <w:szCs w:val="28"/>
          <w:lang w:val="vi-VN"/>
        </w:rPr>
        <w:t xml:space="preserve"> tin</w:t>
      </w:r>
      <w:r w:rsidR="000D5C34" w:rsidRPr="00C411F0">
        <w:rPr>
          <w:bCs/>
          <w:color w:val="000000" w:themeColor="text1"/>
          <w:sz w:val="28"/>
          <w:szCs w:val="28"/>
          <w:lang w:val="vi-VN"/>
        </w:rPr>
        <w:t xml:space="preserve"> và sự ủng hộ</w:t>
      </w:r>
      <w:r w:rsidRPr="00C411F0">
        <w:rPr>
          <w:bCs/>
          <w:color w:val="000000" w:themeColor="text1"/>
          <w:sz w:val="28"/>
          <w:szCs w:val="28"/>
          <w:lang w:val="vi-VN"/>
        </w:rPr>
        <w:t xml:space="preserve"> của </w:t>
      </w:r>
      <w:r w:rsidR="000D5C34" w:rsidRPr="00C411F0">
        <w:rPr>
          <w:bCs/>
          <w:color w:val="000000" w:themeColor="text1"/>
          <w:sz w:val="28"/>
          <w:szCs w:val="28"/>
          <w:lang w:val="vi-VN"/>
        </w:rPr>
        <w:t xml:space="preserve">người dân đối với Nhà nước và doanh nghiệp phụ thuộc vào hiệu quả chính sách và sự cải thiện chất lượng môi trường sống. Phương án không quy định rõ các tiêu chí môi trường và danh mục phân loại xanh gây khó khăn, hạn chế trong công tác quản </w:t>
      </w:r>
      <w:r w:rsidR="00A96AB2" w:rsidRPr="00C411F0">
        <w:rPr>
          <w:bCs/>
          <w:color w:val="000000" w:themeColor="text1"/>
          <w:sz w:val="28"/>
          <w:szCs w:val="28"/>
          <w:lang w:val="vi-VN"/>
        </w:rPr>
        <w:t xml:space="preserve">lý hoạt động tín dụng xanh, trái phiếu </w:t>
      </w:r>
      <w:r w:rsidR="00A96AB2" w:rsidRPr="00C411F0">
        <w:rPr>
          <w:bCs/>
          <w:color w:val="000000" w:themeColor="text1"/>
          <w:sz w:val="28"/>
          <w:szCs w:val="28"/>
          <w:lang w:val="vi-VN"/>
        </w:rPr>
        <w:lastRenderedPageBreak/>
        <w:t xml:space="preserve">xanh; dẫn đến giảm hiệu lực, hiệu quả của các chính sách, quy định được Nhà nước ban hành và suy giảm chất lượng môi trường sống. Do đó, </w:t>
      </w:r>
      <w:r w:rsidR="00A96AB2" w:rsidRPr="00C411F0">
        <w:rPr>
          <w:bCs/>
          <w:i/>
          <w:iCs/>
          <w:color w:val="000000" w:themeColor="text1"/>
          <w:sz w:val="28"/>
          <w:szCs w:val="28"/>
          <w:lang w:val="vi-VN"/>
        </w:rPr>
        <w:t xml:space="preserve">phương án này </w:t>
      </w:r>
      <w:r w:rsidR="00116DA9" w:rsidRPr="00C411F0">
        <w:rPr>
          <w:bCs/>
          <w:i/>
          <w:iCs/>
          <w:color w:val="000000" w:themeColor="text1"/>
          <w:sz w:val="28"/>
          <w:szCs w:val="28"/>
          <w:lang w:val="vi-VN"/>
        </w:rPr>
        <w:t xml:space="preserve">có khả năng </w:t>
      </w:r>
      <w:r w:rsidR="00A96AB2" w:rsidRPr="00C411F0">
        <w:rPr>
          <w:bCs/>
          <w:i/>
          <w:iCs/>
          <w:color w:val="000000" w:themeColor="text1"/>
          <w:sz w:val="28"/>
          <w:szCs w:val="28"/>
          <w:lang w:val="vi-VN"/>
        </w:rPr>
        <w:t>gây tác động tiêu cực về mặt tâm lý, xã hội đối với người dân</w:t>
      </w:r>
      <w:r w:rsidR="00A96AB2" w:rsidRPr="00C411F0">
        <w:rPr>
          <w:bCs/>
          <w:color w:val="000000" w:themeColor="text1"/>
          <w:sz w:val="28"/>
          <w:szCs w:val="28"/>
          <w:lang w:val="vi-VN"/>
        </w:rPr>
        <w:t>.</w:t>
      </w:r>
    </w:p>
    <w:p w14:paraId="74AC99D4" w14:textId="1DB14934" w:rsidR="00A96AB2" w:rsidRPr="009605FD" w:rsidRDefault="009C13A1" w:rsidP="00255F30">
      <w:pPr>
        <w:widowControl w:val="0"/>
        <w:spacing w:before="120" w:line="340" w:lineRule="exact"/>
        <w:ind w:firstLine="720"/>
        <w:rPr>
          <w:b/>
          <w:bCs/>
          <w:i/>
          <w:color w:val="000000" w:themeColor="text1"/>
          <w:lang w:val="vi-VN"/>
        </w:rPr>
      </w:pPr>
      <w:r w:rsidRPr="009605FD">
        <w:rPr>
          <w:b/>
          <w:bCs/>
          <w:i/>
          <w:color w:val="000000" w:themeColor="text1"/>
          <w:lang w:val="vi-VN"/>
        </w:rPr>
        <w:t>c</w:t>
      </w:r>
      <w:r w:rsidRPr="00C411F0">
        <w:rPr>
          <w:b/>
          <w:bCs/>
          <w:i/>
          <w:color w:val="000000" w:themeColor="text1"/>
          <w:lang w:val="vi-VN"/>
        </w:rPr>
        <w:t>)</w:t>
      </w:r>
      <w:r w:rsidR="00A96AB2" w:rsidRPr="009605FD">
        <w:rPr>
          <w:b/>
          <w:bCs/>
          <w:i/>
          <w:color w:val="000000" w:themeColor="text1"/>
          <w:lang w:val="vi-VN"/>
        </w:rPr>
        <w:t xml:space="preserve"> Tác động về giới: </w:t>
      </w:r>
    </w:p>
    <w:p w14:paraId="1C965CEB" w14:textId="22F9EA21" w:rsidR="00A96AB2" w:rsidRPr="00C411F0" w:rsidRDefault="00A96AB2" w:rsidP="00255F30">
      <w:pPr>
        <w:widowControl w:val="0"/>
        <w:spacing w:before="120" w:line="340" w:lineRule="exact"/>
        <w:ind w:firstLine="720"/>
        <w:jc w:val="both"/>
        <w:rPr>
          <w:bCs/>
          <w:color w:val="000000" w:themeColor="text1"/>
          <w:lang w:val="vi-VN"/>
        </w:rPr>
      </w:pPr>
      <w:r w:rsidRPr="00C411F0">
        <w:rPr>
          <w:bCs/>
          <w:color w:val="000000" w:themeColor="text1"/>
          <w:lang w:val="vi-VN"/>
        </w:rPr>
        <w:t xml:space="preserve">Phương án giữ nguyên như hiện hành không có tác động về giới. </w:t>
      </w:r>
    </w:p>
    <w:p w14:paraId="2555965A" w14:textId="7D0616C3" w:rsidR="00DF7101" w:rsidRPr="00C411F0" w:rsidRDefault="009C13A1" w:rsidP="00255F30">
      <w:pPr>
        <w:widowControl w:val="0"/>
        <w:spacing w:before="120" w:line="340" w:lineRule="exact"/>
        <w:ind w:firstLine="720"/>
        <w:rPr>
          <w:b/>
          <w:bCs/>
          <w:i/>
          <w:color w:val="000000" w:themeColor="text1"/>
          <w:lang w:val="vi-VN"/>
        </w:rPr>
      </w:pPr>
      <w:r w:rsidRPr="00C411F0">
        <w:rPr>
          <w:b/>
          <w:bCs/>
          <w:i/>
          <w:color w:val="000000" w:themeColor="text1"/>
          <w:lang w:val="vi-VN"/>
        </w:rPr>
        <w:t>d)</w:t>
      </w:r>
      <w:r w:rsidR="00DF7101" w:rsidRPr="009605FD">
        <w:rPr>
          <w:b/>
          <w:bCs/>
          <w:i/>
          <w:color w:val="000000" w:themeColor="text1"/>
          <w:lang w:val="vi-VN"/>
        </w:rPr>
        <w:t xml:space="preserve"> Tác động về </w:t>
      </w:r>
      <w:r w:rsidR="008B53FF" w:rsidRPr="009605FD">
        <w:rPr>
          <w:b/>
          <w:bCs/>
          <w:i/>
          <w:color w:val="000000" w:themeColor="text1"/>
          <w:lang w:val="vi-VN"/>
        </w:rPr>
        <w:t>thủ</w:t>
      </w:r>
      <w:r w:rsidR="008B53FF" w:rsidRPr="00C411F0">
        <w:rPr>
          <w:b/>
          <w:bCs/>
          <w:i/>
          <w:color w:val="000000" w:themeColor="text1"/>
          <w:lang w:val="vi-VN"/>
        </w:rPr>
        <w:t xml:space="preserve"> tục hành chính:</w:t>
      </w:r>
    </w:p>
    <w:p w14:paraId="1179BB81" w14:textId="7909D39A" w:rsidR="00B25A93" w:rsidRPr="00C411F0" w:rsidRDefault="00B25A93" w:rsidP="00255F30">
      <w:pPr>
        <w:widowControl w:val="0"/>
        <w:spacing w:before="120" w:line="340" w:lineRule="exact"/>
        <w:ind w:firstLine="720"/>
        <w:jc w:val="both"/>
        <w:rPr>
          <w:bCs/>
          <w:color w:val="000000" w:themeColor="text1"/>
          <w:spacing w:val="-4"/>
          <w:lang w:val="vi-VN"/>
        </w:rPr>
      </w:pPr>
      <w:r w:rsidRPr="00C411F0">
        <w:rPr>
          <w:bCs/>
          <w:color w:val="000000" w:themeColor="text1"/>
          <w:spacing w:val="-4"/>
          <w:lang w:val="vi-VN"/>
        </w:rPr>
        <w:t>Phương án giữ nguyên như hiện hành không có tác động về thủ tục hành chính.</w:t>
      </w:r>
    </w:p>
    <w:p w14:paraId="7575DEA2" w14:textId="237DAC00" w:rsidR="00DF7101" w:rsidRPr="00C411F0" w:rsidRDefault="009C13A1" w:rsidP="00255F30">
      <w:pPr>
        <w:widowControl w:val="0"/>
        <w:spacing w:before="120" w:line="340" w:lineRule="exact"/>
        <w:ind w:firstLine="720"/>
        <w:rPr>
          <w:b/>
          <w:bCs/>
          <w:i/>
          <w:color w:val="000000" w:themeColor="text1"/>
          <w:lang w:val="vi-VN"/>
        </w:rPr>
      </w:pPr>
      <w:r w:rsidRPr="00C411F0">
        <w:rPr>
          <w:b/>
          <w:bCs/>
          <w:i/>
          <w:color w:val="000000" w:themeColor="text1"/>
          <w:lang w:val="vi-VN"/>
        </w:rPr>
        <w:t>đ)</w:t>
      </w:r>
      <w:r w:rsidR="00DF7101" w:rsidRPr="00C411F0">
        <w:rPr>
          <w:b/>
          <w:bCs/>
          <w:i/>
          <w:color w:val="000000" w:themeColor="text1"/>
          <w:lang w:val="vi-VN"/>
        </w:rPr>
        <w:t xml:space="preserve"> Tác động đối với hệ thống pháp luật</w:t>
      </w:r>
      <w:r w:rsidR="00B25A93" w:rsidRPr="00C411F0">
        <w:rPr>
          <w:b/>
          <w:bCs/>
          <w:i/>
          <w:color w:val="000000" w:themeColor="text1"/>
          <w:lang w:val="vi-VN"/>
        </w:rPr>
        <w:t>:</w:t>
      </w:r>
    </w:p>
    <w:p w14:paraId="368899CD" w14:textId="07B24632" w:rsidR="004A6D08" w:rsidRPr="00C411F0" w:rsidRDefault="001B617B" w:rsidP="00255F30">
      <w:pPr>
        <w:widowControl w:val="0"/>
        <w:spacing w:before="120" w:line="340" w:lineRule="exact"/>
        <w:ind w:firstLine="720"/>
        <w:jc w:val="both"/>
        <w:rPr>
          <w:bCs/>
          <w:color w:val="000000" w:themeColor="text1"/>
          <w:lang w:val="vi-VN"/>
        </w:rPr>
      </w:pPr>
      <w:r w:rsidRPr="00C411F0">
        <w:rPr>
          <w:bCs/>
          <w:color w:val="000000" w:themeColor="text1"/>
          <w:lang w:val="vi-VN"/>
        </w:rPr>
        <w:t>Khoản 2 Điều 154 Nghị định số 08/2022/NĐ-CP của Chính phủ ngày 10/01/2022 quy định chi tiết một số điều của Luật BVMT nêu rõ “</w:t>
      </w:r>
      <w:r w:rsidRPr="009605FD">
        <w:rPr>
          <w:bCs/>
          <w:color w:val="000000" w:themeColor="text1"/>
          <w:lang w:val="vi-VN"/>
        </w:rPr>
        <w:t>Bộ Tài nguyên và Môi trường chủ trì, phối hợp với các bộ, cơ quan ngang bộ có liên quan xây dựng trình Thủ tướng Chính phủ ban hành tiêu chí môi trường và việc xác nhận đối với dự án được cấp tín dụng xanh, phát hành trái phiếu xanh (sau đây gọi là danh mục phân loại xanh) trước ngày 31 tháng 12 năm 2022.</w:t>
      </w:r>
      <w:r w:rsidRPr="00C411F0">
        <w:rPr>
          <w:bCs/>
          <w:color w:val="000000" w:themeColor="text1"/>
          <w:lang w:val="vi-VN"/>
        </w:rPr>
        <w:t>”</w:t>
      </w:r>
    </w:p>
    <w:p w14:paraId="658AB6FB" w14:textId="77777777" w:rsidR="00307A34" w:rsidRPr="00C411F0" w:rsidRDefault="00307A34" w:rsidP="00255F30">
      <w:pPr>
        <w:widowControl w:val="0"/>
        <w:spacing w:before="120" w:line="340" w:lineRule="exact"/>
        <w:ind w:firstLine="720"/>
        <w:jc w:val="both"/>
        <w:rPr>
          <w:color w:val="000000" w:themeColor="text1"/>
          <w:lang w:val="vi-VN"/>
        </w:rPr>
      </w:pPr>
      <w:r w:rsidRPr="00C411F0">
        <w:rPr>
          <w:color w:val="000000" w:themeColor="text1"/>
          <w:lang w:val="vi-VN"/>
        </w:rPr>
        <w:t>Khoản 1 Điều 21 Nghị định số 95/2018/NĐ-CP của Chính phủ ngày 30/6/2018 về phát hành, đăng ký, lưu ký, niêm yết và giao dịch công cụ nợ của Chính phủ trên thị trường chứng khoán quy định “Trái phiếu xanh là một loại trái phiếu Chính phủ được phát hành để đầu tư cho các dự án liên quan đến hoạt động bảo vệ môi trường theo quy định tại Luật Bảo vệ môi trường (dự án xanh)…”.</w:t>
      </w:r>
    </w:p>
    <w:p w14:paraId="4A0807D0" w14:textId="0CC5865B" w:rsidR="00307A34" w:rsidRDefault="00307A34" w:rsidP="00255F30">
      <w:pPr>
        <w:widowControl w:val="0"/>
        <w:spacing w:before="120" w:line="340" w:lineRule="exact"/>
        <w:ind w:firstLine="720"/>
        <w:jc w:val="both"/>
        <w:rPr>
          <w:bCs/>
          <w:color w:val="000000" w:themeColor="text1"/>
          <w:lang w:val="vi-VN"/>
        </w:rPr>
      </w:pPr>
      <w:r w:rsidRPr="00C411F0">
        <w:rPr>
          <w:color w:val="000000" w:themeColor="text1"/>
          <w:lang w:val="vi-VN"/>
        </w:rPr>
        <w:t xml:space="preserve">Như vậy, trường hợp thực hiện theo </w:t>
      </w:r>
      <w:r w:rsidRPr="00C411F0">
        <w:rPr>
          <w:i/>
          <w:iCs/>
          <w:color w:val="000000" w:themeColor="text1"/>
          <w:lang w:val="vi-VN"/>
        </w:rPr>
        <w:t>Phương án giữ nguyên như hiện hành</w:t>
      </w:r>
      <w:r w:rsidRPr="00C411F0">
        <w:rPr>
          <w:color w:val="000000" w:themeColor="text1"/>
          <w:lang w:val="vi-VN"/>
        </w:rPr>
        <w:t xml:space="preserve"> (không ban hành tiêu chí môi trường đối </w:t>
      </w:r>
      <w:r w:rsidRPr="009605FD">
        <w:rPr>
          <w:bCs/>
          <w:color w:val="000000" w:themeColor="text1"/>
          <w:lang w:val="vi-VN"/>
        </w:rPr>
        <w:t>với dự án được cấp tín dụng xanh, phát hành trái phiếu xanh</w:t>
      </w:r>
      <w:r w:rsidRPr="00C411F0">
        <w:rPr>
          <w:bCs/>
          <w:color w:val="000000" w:themeColor="text1"/>
          <w:lang w:val="vi-VN"/>
        </w:rPr>
        <w:t xml:space="preserve"> và không ban hành danh mục phân loại xanh) </w:t>
      </w:r>
      <w:r w:rsidRPr="00C411F0">
        <w:rPr>
          <w:bCs/>
          <w:i/>
          <w:iCs/>
          <w:color w:val="000000" w:themeColor="text1"/>
          <w:lang w:val="vi-VN"/>
        </w:rPr>
        <w:t>sẽ dẫn đến việc</w:t>
      </w:r>
      <w:r w:rsidRPr="00C411F0">
        <w:rPr>
          <w:bCs/>
          <w:color w:val="000000" w:themeColor="text1"/>
          <w:lang w:val="vi-VN"/>
        </w:rPr>
        <w:t xml:space="preserve"> </w:t>
      </w:r>
      <w:r w:rsidRPr="00C411F0">
        <w:rPr>
          <w:bCs/>
          <w:i/>
          <w:iCs/>
          <w:color w:val="000000" w:themeColor="text1"/>
          <w:lang w:val="vi-VN"/>
        </w:rPr>
        <w:t>không đồng bộ, thống nhất với quy định tại các Nghị định</w:t>
      </w:r>
      <w:r w:rsidRPr="00C411F0">
        <w:rPr>
          <w:bCs/>
          <w:color w:val="000000" w:themeColor="text1"/>
          <w:lang w:val="vi-VN"/>
        </w:rPr>
        <w:t xml:space="preserve"> nêu trên.</w:t>
      </w:r>
    </w:p>
    <w:p w14:paraId="3DFAC6CB" w14:textId="50D50818" w:rsidR="004D73CC" w:rsidRPr="00A41810" w:rsidRDefault="00935303" w:rsidP="00A41810">
      <w:pPr>
        <w:pStyle w:val="ListParagraph"/>
        <w:widowControl w:val="0"/>
        <w:numPr>
          <w:ilvl w:val="2"/>
          <w:numId w:val="2"/>
        </w:numPr>
        <w:tabs>
          <w:tab w:val="right" w:leader="dot" w:pos="7920"/>
        </w:tabs>
        <w:spacing w:before="120" w:line="340" w:lineRule="exact"/>
        <w:jc w:val="both"/>
        <w:rPr>
          <w:i/>
          <w:iCs/>
          <w:color w:val="000000" w:themeColor="text1"/>
          <w:u w:val="single"/>
          <w:lang w:val="vi-VN"/>
        </w:rPr>
      </w:pPr>
      <w:r w:rsidRPr="00A41810">
        <w:rPr>
          <w:i/>
          <w:iCs/>
          <w:color w:val="000000" w:themeColor="text1"/>
          <w:u w:val="single"/>
          <w:lang w:val="vi-VN"/>
        </w:rPr>
        <w:t xml:space="preserve">Phương án </w:t>
      </w:r>
      <w:r w:rsidR="00AD12B2" w:rsidRPr="00A41810">
        <w:rPr>
          <w:i/>
          <w:iCs/>
          <w:color w:val="000000" w:themeColor="text1"/>
          <w:u w:val="single"/>
          <w:lang w:val="vi-VN"/>
        </w:rPr>
        <w:t>1</w:t>
      </w:r>
      <w:r w:rsidRPr="00A41810">
        <w:rPr>
          <w:i/>
          <w:iCs/>
          <w:color w:val="000000" w:themeColor="text1"/>
          <w:u w:val="single"/>
          <w:lang w:val="vi-VN"/>
        </w:rPr>
        <w:t>: Như Dự thảo</w:t>
      </w:r>
      <w:r w:rsidR="00962513" w:rsidRPr="00A41810">
        <w:rPr>
          <w:i/>
          <w:iCs/>
          <w:color w:val="000000" w:themeColor="text1"/>
          <w:u w:val="single"/>
          <w:lang w:val="vi-VN"/>
        </w:rPr>
        <w:t xml:space="preserve"> Quyết định</w:t>
      </w:r>
      <w:r w:rsidRPr="00A41810">
        <w:rPr>
          <w:i/>
          <w:iCs/>
          <w:color w:val="000000" w:themeColor="text1"/>
          <w:u w:val="single"/>
          <w:lang w:val="vi-VN"/>
        </w:rPr>
        <w:t>.</w:t>
      </w:r>
    </w:p>
    <w:p w14:paraId="6BC42682" w14:textId="6792628A" w:rsidR="004D73CC" w:rsidRDefault="004D73CC" w:rsidP="004D73CC">
      <w:pPr>
        <w:widowControl w:val="0"/>
        <w:tabs>
          <w:tab w:val="right" w:leader="dot" w:pos="7920"/>
        </w:tabs>
        <w:spacing w:before="120" w:line="340" w:lineRule="exact"/>
        <w:ind w:firstLine="720"/>
        <w:jc w:val="both"/>
        <w:rPr>
          <w:i/>
          <w:iCs/>
          <w:color w:val="000000" w:themeColor="text1"/>
          <w:lang w:val="vi-VN"/>
        </w:rPr>
      </w:pPr>
      <w:r w:rsidRPr="00A41810">
        <w:rPr>
          <w:i/>
          <w:iCs/>
          <w:color w:val="000000" w:themeColor="text1"/>
          <w:lang w:val="vi-VN"/>
        </w:rPr>
        <w:t xml:space="preserve">(Quy định rõ </w:t>
      </w:r>
      <w:r w:rsidRPr="00A41810">
        <w:rPr>
          <w:bCs/>
          <w:i/>
          <w:iCs/>
          <w:color w:val="000000" w:themeColor="text1"/>
          <w:lang w:val="vi-VN"/>
        </w:rPr>
        <w:t xml:space="preserve">các tiêu chí môi trường làm cơ sở xác định dự án được cấp tín dụng xanh, phát hành trái phiếu xanh và ban hành </w:t>
      </w:r>
      <w:r>
        <w:rPr>
          <w:bCs/>
          <w:i/>
          <w:iCs/>
          <w:color w:val="000000" w:themeColor="text1"/>
          <w:lang w:val="vi-VN"/>
        </w:rPr>
        <w:t xml:space="preserve">phụ lục về </w:t>
      </w:r>
      <w:r w:rsidRPr="00A41810">
        <w:rPr>
          <w:i/>
          <w:iCs/>
          <w:color w:val="000000" w:themeColor="text1"/>
          <w:lang w:val="vi-VN"/>
        </w:rPr>
        <w:t xml:space="preserve">Danh mục phân loại xanh gồm: loại hình, mã ngành kinh tế, tiêu chí sàng lọc (ngưỡng, chỉ tiêu cho phép), điều kiện (yêu cầu không gây hại đến các mục tiêu môi trường khác) đối với </w:t>
      </w:r>
      <w:r w:rsidRPr="00A41810">
        <w:rPr>
          <w:bCs/>
          <w:i/>
          <w:iCs/>
          <w:color w:val="000000" w:themeColor="text1"/>
          <w:lang w:val="vi-VN"/>
        </w:rPr>
        <w:t>dự án được cấp tín dụng xanh, phát hành trái phiếu xanh</w:t>
      </w:r>
      <w:r>
        <w:rPr>
          <w:bCs/>
          <w:i/>
          <w:iCs/>
          <w:color w:val="000000" w:themeColor="text1"/>
          <w:lang w:val="vi-VN"/>
        </w:rPr>
        <w:t xml:space="preserve">. </w:t>
      </w:r>
      <w:r w:rsidRPr="00A41810">
        <w:rPr>
          <w:i/>
          <w:iCs/>
          <w:color w:val="000000" w:themeColor="text1"/>
          <w:lang w:val="vi-VN"/>
        </w:rPr>
        <w:t xml:space="preserve"> </w:t>
      </w:r>
    </w:p>
    <w:p w14:paraId="7694AF2C" w14:textId="75DB2916" w:rsidR="004D73CC" w:rsidRPr="00A41810" w:rsidRDefault="00AF46B5" w:rsidP="00A41810">
      <w:pPr>
        <w:widowControl w:val="0"/>
        <w:tabs>
          <w:tab w:val="right" w:leader="dot" w:pos="7920"/>
        </w:tabs>
        <w:spacing w:before="120" w:line="340" w:lineRule="exact"/>
        <w:ind w:firstLine="720"/>
        <w:jc w:val="both"/>
        <w:rPr>
          <w:i/>
          <w:iCs/>
          <w:color w:val="000000" w:themeColor="text1"/>
          <w:lang w:val="vi-VN"/>
        </w:rPr>
      </w:pPr>
      <w:r>
        <w:rPr>
          <w:color w:val="000000" w:themeColor="text1"/>
          <w:lang w:val="vi-VN"/>
        </w:rPr>
        <w:t xml:space="preserve">Danh mục phân loại xanh (Phụ lục I) gồm 80 loại hình dự án đầu tư </w:t>
      </w:r>
      <w:r w:rsidRPr="00097886">
        <w:rPr>
          <w:color w:val="000000" w:themeColor="text1"/>
          <w:lang w:val="vi-VN"/>
        </w:rPr>
        <w:t xml:space="preserve">phân thành 09 nhóm </w:t>
      </w:r>
      <w:r>
        <w:rPr>
          <w:color w:val="000000" w:themeColor="text1"/>
          <w:lang w:val="vi-VN"/>
        </w:rPr>
        <w:t>theo lĩnh vực và đặc thù “tính xanh” của dự án, gồm</w:t>
      </w:r>
      <w:r w:rsidRPr="00097886">
        <w:rPr>
          <w:color w:val="000000" w:themeColor="text1"/>
          <w:lang w:val="vi-VN"/>
        </w:rPr>
        <w:t xml:space="preserve">: </w:t>
      </w:r>
      <w:r>
        <w:rPr>
          <w:color w:val="000000" w:themeColor="text1"/>
          <w:lang w:val="vi-VN"/>
        </w:rPr>
        <w:t xml:space="preserve">75 dự án xanh và 05 dự án chuyển đổi xanh. </w:t>
      </w:r>
      <w:r w:rsidR="004D73CC">
        <w:rPr>
          <w:color w:val="000000" w:themeColor="text1"/>
          <w:lang w:val="vi-VN"/>
        </w:rPr>
        <w:t>Đối với các dự án chuyển đổi xanh, tiêu chí môi trường có những yêu cầu chặt chẽ hơn, đặc biệt là các yêu cầu không gây hại đến các mục tiêu môi trường khác).</w:t>
      </w:r>
    </w:p>
    <w:p w14:paraId="61684155" w14:textId="549037F5" w:rsidR="0024233A" w:rsidRPr="00C411F0" w:rsidRDefault="00307A34" w:rsidP="002E1679">
      <w:pPr>
        <w:widowControl w:val="0"/>
        <w:spacing w:before="80" w:line="340" w:lineRule="exact"/>
        <w:ind w:firstLine="720"/>
        <w:jc w:val="both"/>
        <w:rPr>
          <w:b/>
          <w:bCs/>
          <w:i/>
          <w:color w:val="000000" w:themeColor="text1"/>
          <w:highlight w:val="white"/>
          <w:lang w:val="vi-VN"/>
        </w:rPr>
      </w:pPr>
      <w:r w:rsidRPr="00C411F0">
        <w:rPr>
          <w:b/>
          <w:bCs/>
          <w:i/>
          <w:color w:val="000000" w:themeColor="text1"/>
          <w:highlight w:val="white"/>
          <w:lang w:val="nl-NL"/>
        </w:rPr>
        <w:t>a</w:t>
      </w:r>
      <w:r w:rsidRPr="00C411F0">
        <w:rPr>
          <w:b/>
          <w:bCs/>
          <w:i/>
          <w:color w:val="000000" w:themeColor="text1"/>
          <w:highlight w:val="white"/>
          <w:lang w:val="vi-VN"/>
        </w:rPr>
        <w:t>)</w:t>
      </w:r>
      <w:r w:rsidR="0024233A" w:rsidRPr="00C411F0">
        <w:rPr>
          <w:b/>
          <w:bCs/>
          <w:i/>
          <w:color w:val="000000" w:themeColor="text1"/>
          <w:highlight w:val="white"/>
          <w:lang w:val="nl-NL"/>
        </w:rPr>
        <w:t xml:space="preserve"> Tác động về kinh tế</w:t>
      </w:r>
      <w:r w:rsidR="0024233A" w:rsidRPr="00C411F0">
        <w:rPr>
          <w:b/>
          <w:bCs/>
          <w:i/>
          <w:color w:val="000000" w:themeColor="text1"/>
          <w:highlight w:val="white"/>
          <w:lang w:val="vi-VN"/>
        </w:rPr>
        <w:t>:</w:t>
      </w:r>
    </w:p>
    <w:p w14:paraId="779F4BC4" w14:textId="3F282659" w:rsidR="0024233A" w:rsidRPr="00C411F0" w:rsidRDefault="00307A34" w:rsidP="002E1679">
      <w:pPr>
        <w:widowControl w:val="0"/>
        <w:spacing w:before="80" w:line="340" w:lineRule="exact"/>
        <w:ind w:firstLine="720"/>
        <w:jc w:val="both"/>
        <w:rPr>
          <w:b/>
          <w:bCs/>
          <w:i/>
          <w:color w:val="000000" w:themeColor="text1"/>
          <w:highlight w:val="white"/>
          <w:lang w:val="vi-VN"/>
        </w:rPr>
      </w:pPr>
      <w:r w:rsidRPr="00C411F0">
        <w:rPr>
          <w:b/>
          <w:bCs/>
          <w:i/>
          <w:color w:val="000000" w:themeColor="text1"/>
          <w:highlight w:val="white"/>
          <w:lang w:val="vi-VN"/>
        </w:rPr>
        <w:t>*</w:t>
      </w:r>
      <w:r w:rsidR="0024233A" w:rsidRPr="00C411F0">
        <w:rPr>
          <w:b/>
          <w:bCs/>
          <w:i/>
          <w:color w:val="000000" w:themeColor="text1"/>
          <w:highlight w:val="white"/>
          <w:lang w:val="vi-VN"/>
        </w:rPr>
        <w:t xml:space="preserve"> Đối với Nhà nước: </w:t>
      </w:r>
    </w:p>
    <w:p w14:paraId="352AA201" w14:textId="6979049B" w:rsidR="0024233A" w:rsidRPr="00C411F0" w:rsidRDefault="00307A34" w:rsidP="002E1679">
      <w:pPr>
        <w:widowControl w:val="0"/>
        <w:spacing w:before="80" w:line="340" w:lineRule="exact"/>
        <w:ind w:firstLine="720"/>
        <w:jc w:val="both"/>
        <w:rPr>
          <w:color w:val="000000" w:themeColor="text1"/>
          <w:highlight w:val="white"/>
          <w:lang w:val="nl-NL"/>
        </w:rPr>
      </w:pPr>
      <w:r w:rsidRPr="00C411F0">
        <w:rPr>
          <w:i/>
          <w:color w:val="000000" w:themeColor="text1"/>
          <w:highlight w:val="white"/>
          <w:lang w:val="vi-VN"/>
        </w:rPr>
        <w:t xml:space="preserve">- </w:t>
      </w:r>
      <w:r w:rsidR="0024233A" w:rsidRPr="00C411F0">
        <w:rPr>
          <w:i/>
          <w:color w:val="000000" w:themeColor="text1"/>
          <w:highlight w:val="white"/>
          <w:lang w:val="nl-NL"/>
        </w:rPr>
        <w:t>Tác động tiêu cực</w:t>
      </w:r>
      <w:r w:rsidR="0024233A" w:rsidRPr="00C411F0">
        <w:rPr>
          <w:color w:val="000000" w:themeColor="text1"/>
          <w:highlight w:val="white"/>
          <w:lang w:val="nl-NL"/>
        </w:rPr>
        <w:t>:</w:t>
      </w:r>
    </w:p>
    <w:p w14:paraId="3F95C752" w14:textId="08F3D803" w:rsidR="0024233A" w:rsidRPr="009605FD"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nl-NL"/>
        </w:rPr>
        <w:t>+ Cơ</w:t>
      </w:r>
      <w:r w:rsidRPr="00C411F0">
        <w:rPr>
          <w:bCs/>
          <w:color w:val="000000" w:themeColor="text1"/>
          <w:sz w:val="28"/>
          <w:szCs w:val="28"/>
          <w:lang w:val="vi-VN"/>
        </w:rPr>
        <w:t xml:space="preserve"> quan quản lý nhà nước (</w:t>
      </w:r>
      <w:r w:rsidRPr="009605FD">
        <w:rPr>
          <w:bCs/>
          <w:color w:val="000000" w:themeColor="text1"/>
          <w:sz w:val="28"/>
          <w:szCs w:val="28"/>
          <w:lang w:val="nl-NL"/>
        </w:rPr>
        <w:t>Bộ</w:t>
      </w:r>
      <w:r w:rsidRPr="00C411F0">
        <w:rPr>
          <w:bCs/>
          <w:color w:val="000000" w:themeColor="text1"/>
          <w:sz w:val="28"/>
          <w:szCs w:val="28"/>
          <w:lang w:val="vi-VN"/>
        </w:rPr>
        <w:t xml:space="preserve"> TNMT và các Bộ, ngành, cơ quan liên </w:t>
      </w:r>
      <w:r w:rsidRPr="00C411F0">
        <w:rPr>
          <w:bCs/>
          <w:color w:val="000000" w:themeColor="text1"/>
          <w:sz w:val="28"/>
          <w:szCs w:val="28"/>
          <w:lang w:val="vi-VN"/>
        </w:rPr>
        <w:lastRenderedPageBreak/>
        <w:t xml:space="preserve">quan) sẽ </w:t>
      </w:r>
      <w:r w:rsidRPr="009605FD">
        <w:rPr>
          <w:bCs/>
          <w:color w:val="000000" w:themeColor="text1"/>
          <w:sz w:val="28"/>
          <w:szCs w:val="28"/>
          <w:lang w:val="nl-NL"/>
        </w:rPr>
        <w:t xml:space="preserve">phải bố trí nguồn lực (nhân lực, kinh phí, thời gian) để xây dựng và hoàn thiện </w:t>
      </w:r>
      <w:r w:rsidR="0066348C" w:rsidRPr="009605FD">
        <w:rPr>
          <w:color w:val="000000" w:themeColor="text1"/>
          <w:sz w:val="28"/>
          <w:szCs w:val="28"/>
          <w:lang w:val="nl-NL"/>
        </w:rPr>
        <w:t>tài liệu hướng dẫn áp dụng danh mục phân loại xanh</w:t>
      </w:r>
      <w:r w:rsidRPr="00C411F0">
        <w:rPr>
          <w:bCs/>
          <w:color w:val="000000" w:themeColor="text1"/>
          <w:sz w:val="28"/>
          <w:szCs w:val="28"/>
          <w:lang w:val="vi-VN"/>
        </w:rPr>
        <w:t xml:space="preserve">. </w:t>
      </w:r>
      <w:r w:rsidR="0066348C" w:rsidRPr="00C411F0">
        <w:rPr>
          <w:bCs/>
          <w:color w:val="000000" w:themeColor="text1"/>
          <w:sz w:val="28"/>
          <w:szCs w:val="28"/>
          <w:lang w:val="vi-VN"/>
        </w:rPr>
        <w:t>Tham khảo</w:t>
      </w:r>
      <w:r w:rsidRPr="009605FD">
        <w:rPr>
          <w:bCs/>
          <w:color w:val="000000" w:themeColor="text1"/>
          <w:sz w:val="28"/>
          <w:szCs w:val="28"/>
          <w:lang w:val="vi-VN"/>
        </w:rPr>
        <w:t xml:space="preserve"> quy định về mức chi xây dựng văn bản quy phạm pháp luật theo Thông tư 338/2016/TT-BTC và có tính đến chi phí trung bình thời gian đội ngũ cán bộ chuyên môn phải bỏ ra để xây dựng văn bản, thì tổng chi phí xây dựng, ban hành </w:t>
      </w:r>
      <w:r w:rsidR="0066348C" w:rsidRPr="009605FD">
        <w:rPr>
          <w:bCs/>
          <w:color w:val="000000" w:themeColor="text1"/>
          <w:sz w:val="28"/>
          <w:szCs w:val="28"/>
          <w:lang w:val="vi-VN"/>
        </w:rPr>
        <w:t>tài</w:t>
      </w:r>
      <w:r w:rsidR="0066348C" w:rsidRPr="00C411F0">
        <w:rPr>
          <w:bCs/>
          <w:color w:val="000000" w:themeColor="text1"/>
          <w:sz w:val="28"/>
          <w:szCs w:val="28"/>
          <w:lang w:val="vi-VN"/>
        </w:rPr>
        <w:t xml:space="preserve"> liệu hướng dẫn </w:t>
      </w:r>
      <w:r w:rsidRPr="009605FD">
        <w:rPr>
          <w:bCs/>
          <w:color w:val="000000" w:themeColor="text1"/>
          <w:sz w:val="28"/>
          <w:szCs w:val="28"/>
          <w:lang w:val="vi-VN"/>
        </w:rPr>
        <w:t>để bảo</w:t>
      </w:r>
      <w:r w:rsidRPr="00C411F0">
        <w:rPr>
          <w:bCs/>
          <w:color w:val="000000" w:themeColor="text1"/>
          <w:sz w:val="28"/>
          <w:szCs w:val="28"/>
          <w:lang w:val="vi-VN"/>
        </w:rPr>
        <w:t xml:space="preserve"> đảm </w:t>
      </w:r>
      <w:r w:rsidRPr="009605FD">
        <w:rPr>
          <w:bCs/>
          <w:color w:val="000000" w:themeColor="text1"/>
          <w:sz w:val="28"/>
          <w:szCs w:val="28"/>
          <w:lang w:val="vi-VN"/>
        </w:rPr>
        <w:t xml:space="preserve">thực thi chính sách này là khoảng </w:t>
      </w:r>
      <w:r w:rsidR="0066348C" w:rsidRPr="00C411F0">
        <w:rPr>
          <w:b/>
          <w:i/>
          <w:iCs/>
          <w:color w:val="000000" w:themeColor="text1"/>
          <w:sz w:val="28"/>
          <w:szCs w:val="28"/>
          <w:lang w:val="vi-VN"/>
        </w:rPr>
        <w:t>5</w:t>
      </w:r>
      <w:r w:rsidRPr="00C411F0">
        <w:rPr>
          <w:b/>
          <w:i/>
          <w:iCs/>
          <w:color w:val="000000" w:themeColor="text1"/>
          <w:sz w:val="28"/>
          <w:szCs w:val="28"/>
          <w:lang w:val="vi-VN"/>
        </w:rPr>
        <w:t>2</w:t>
      </w:r>
      <w:r w:rsidRPr="009605FD">
        <w:rPr>
          <w:b/>
          <w:i/>
          <w:iCs/>
          <w:color w:val="000000" w:themeColor="text1"/>
          <w:sz w:val="28"/>
          <w:szCs w:val="28"/>
          <w:lang w:val="vi-VN"/>
        </w:rPr>
        <w:t xml:space="preserve"> triệu đồng</w:t>
      </w:r>
      <w:r w:rsidRPr="009605FD">
        <w:rPr>
          <w:bCs/>
          <w:color w:val="000000" w:themeColor="text1"/>
          <w:sz w:val="28"/>
          <w:szCs w:val="28"/>
          <w:lang w:val="vi-VN"/>
        </w:rPr>
        <w:t>.</w:t>
      </w:r>
    </w:p>
    <w:p w14:paraId="0FE1C59C" w14:textId="4494BF37" w:rsidR="005F6258" w:rsidRPr="00C411F0" w:rsidRDefault="0066348C" w:rsidP="00DB07CD">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Cơ quan quản lý nhà nước </w:t>
      </w:r>
      <w:r w:rsidR="005F6258" w:rsidRPr="00C411F0">
        <w:rPr>
          <w:bCs/>
          <w:color w:val="000000" w:themeColor="text1"/>
          <w:sz w:val="28"/>
          <w:szCs w:val="28"/>
          <w:lang w:val="vi-VN"/>
        </w:rPr>
        <w:t>(</w:t>
      </w:r>
      <w:r w:rsidR="005F6258" w:rsidRPr="009605FD">
        <w:rPr>
          <w:bCs/>
          <w:color w:val="000000" w:themeColor="text1"/>
          <w:sz w:val="28"/>
          <w:szCs w:val="28"/>
          <w:lang w:val="vi-VN"/>
        </w:rPr>
        <w:t>Bộ</w:t>
      </w:r>
      <w:r w:rsidR="005F6258" w:rsidRPr="00C411F0">
        <w:rPr>
          <w:bCs/>
          <w:color w:val="000000" w:themeColor="text1"/>
          <w:sz w:val="28"/>
          <w:szCs w:val="28"/>
          <w:lang w:val="vi-VN"/>
        </w:rPr>
        <w:t xml:space="preserve"> TNMT và các Bộ, ngành, cơ quan liên quan) cũng sẽ </w:t>
      </w:r>
      <w:r w:rsidR="005F6258" w:rsidRPr="009605FD">
        <w:rPr>
          <w:bCs/>
          <w:color w:val="000000" w:themeColor="text1"/>
          <w:sz w:val="28"/>
          <w:szCs w:val="28"/>
          <w:lang w:val="vi-VN"/>
        </w:rPr>
        <w:t>phải bố trí nguồn lực (nhân lực, kinh phí, thời gian) để</w:t>
      </w:r>
      <w:r w:rsidR="005F6258" w:rsidRPr="00C411F0">
        <w:rPr>
          <w:bCs/>
          <w:color w:val="000000" w:themeColor="text1"/>
          <w:sz w:val="28"/>
          <w:szCs w:val="28"/>
          <w:lang w:val="vi-VN"/>
        </w:rPr>
        <w:t xml:space="preserve"> </w:t>
      </w:r>
      <w:r w:rsidR="005F6258" w:rsidRPr="009605FD">
        <w:rPr>
          <w:color w:val="000000" w:themeColor="text1"/>
          <w:sz w:val="28"/>
          <w:szCs w:val="28"/>
          <w:lang w:val="vi-VN"/>
        </w:rPr>
        <w:t xml:space="preserve">xây dựng, ban hành và tổ chức thực hiện chương trình </w:t>
      </w:r>
      <w:r w:rsidR="00DB07CD">
        <w:rPr>
          <w:color w:val="000000" w:themeColor="text1"/>
          <w:sz w:val="28"/>
          <w:szCs w:val="28"/>
          <w:lang w:val="vi-VN"/>
        </w:rPr>
        <w:t xml:space="preserve">đào tạo, tập huấn cho các tổ chức tín dụng </w:t>
      </w:r>
      <w:r w:rsidR="005F6258" w:rsidRPr="009605FD">
        <w:rPr>
          <w:color w:val="000000" w:themeColor="text1"/>
          <w:sz w:val="28"/>
          <w:szCs w:val="28"/>
          <w:lang w:val="vi-VN"/>
        </w:rPr>
        <w:t>áp dụng danh mục phân loại xanh</w:t>
      </w:r>
      <w:r w:rsidR="00DB07CD">
        <w:rPr>
          <w:color w:val="000000" w:themeColor="text1"/>
          <w:sz w:val="28"/>
          <w:szCs w:val="28"/>
          <w:lang w:val="vi-VN"/>
        </w:rPr>
        <w:t xml:space="preserve"> (theo quy định tại khoản 2 Điều 155 Nghị định số 08/2022/NĐ-CP về cơ chế khuyến khích cấp tín dụng xanh, t</w:t>
      </w:r>
      <w:r w:rsidR="00DB07CD" w:rsidRPr="00A41810">
        <w:rPr>
          <w:bCs/>
          <w:color w:val="000000" w:themeColor="text1"/>
          <w:sz w:val="28"/>
          <w:szCs w:val="28"/>
          <w:lang w:val="vi-VN"/>
        </w:rPr>
        <w:t xml:space="preserve">ổ chức tín dụng, chi nhánh ngân hàng nước ngoài tại Việt Nam cấp tín dụng xanh </w:t>
      </w:r>
      <w:r w:rsidR="00DB07CD">
        <w:rPr>
          <w:bCs/>
          <w:color w:val="000000" w:themeColor="text1"/>
          <w:sz w:val="28"/>
          <w:szCs w:val="28"/>
          <w:lang w:val="vi-VN"/>
        </w:rPr>
        <w:t xml:space="preserve">sẽ </w:t>
      </w:r>
      <w:r w:rsidR="00DB07CD" w:rsidRPr="00A41810">
        <w:rPr>
          <w:bCs/>
          <w:color w:val="000000" w:themeColor="text1"/>
          <w:sz w:val="28"/>
          <w:szCs w:val="28"/>
          <w:lang w:val="vi-VN"/>
        </w:rPr>
        <w:t>được cơ quan nhà nước có thẩm quyền hỗ trợ đào tạo, tập huấn cấp tín dụng xanh</w:t>
      </w:r>
      <w:r w:rsidR="00DB07CD">
        <w:rPr>
          <w:bCs/>
          <w:color w:val="000000" w:themeColor="text1"/>
          <w:sz w:val="28"/>
          <w:szCs w:val="28"/>
          <w:lang w:val="vi-VN"/>
        </w:rPr>
        <w:t>)</w:t>
      </w:r>
      <w:r w:rsidR="00DB07CD" w:rsidRPr="00A41810">
        <w:rPr>
          <w:bCs/>
          <w:color w:val="000000" w:themeColor="text1"/>
          <w:sz w:val="28"/>
          <w:szCs w:val="28"/>
          <w:lang w:val="vi-VN"/>
        </w:rPr>
        <w:t>.</w:t>
      </w:r>
      <w:r w:rsidR="00DB07CD">
        <w:rPr>
          <w:bCs/>
          <w:color w:val="000000" w:themeColor="text1"/>
          <w:sz w:val="28"/>
          <w:szCs w:val="28"/>
          <w:lang w:val="vi-VN"/>
        </w:rPr>
        <w:t xml:space="preserve"> </w:t>
      </w:r>
      <w:r w:rsidR="005F6258" w:rsidRPr="00C411F0">
        <w:rPr>
          <w:color w:val="000000" w:themeColor="text1"/>
          <w:sz w:val="28"/>
          <w:szCs w:val="28"/>
          <w:lang w:val="vi-VN"/>
        </w:rPr>
        <w:t xml:space="preserve">Sơ bộ kinh phí tổ chức thực hiện chương trình đào tạo đối với các TCTD (hiện có khoảng </w:t>
      </w:r>
      <w:r w:rsidR="00BF269A" w:rsidRPr="00C411F0">
        <w:rPr>
          <w:color w:val="000000" w:themeColor="text1"/>
          <w:sz w:val="28"/>
          <w:szCs w:val="28"/>
          <w:lang w:val="vi-VN"/>
        </w:rPr>
        <w:t xml:space="preserve">100 TCTD gồm cả ngân hàng thương mại lẫn chi nhánh ngân hàng nước ngoài) trung bình sẽ khoảng </w:t>
      </w:r>
      <w:r w:rsidR="00BF269A" w:rsidRPr="00C411F0">
        <w:rPr>
          <w:b/>
          <w:bCs/>
          <w:i/>
          <w:iCs/>
          <w:color w:val="000000" w:themeColor="text1"/>
          <w:sz w:val="28"/>
          <w:szCs w:val="28"/>
          <w:lang w:val="vi-VN"/>
        </w:rPr>
        <w:t>250 triệu - 300 triệu đồng/năm</w:t>
      </w:r>
      <w:r w:rsidR="00BF269A" w:rsidRPr="00C411F0">
        <w:rPr>
          <w:color w:val="000000" w:themeColor="text1"/>
          <w:sz w:val="28"/>
          <w:szCs w:val="28"/>
          <w:lang w:val="vi-VN"/>
        </w:rPr>
        <w:t>.</w:t>
      </w:r>
    </w:p>
    <w:p w14:paraId="700C6F26" w14:textId="22181F82" w:rsidR="0024233A" w:rsidRPr="00C411F0" w:rsidRDefault="00BF269A" w:rsidP="002E1679">
      <w:pPr>
        <w:widowControl w:val="0"/>
        <w:spacing w:before="80" w:line="340" w:lineRule="exact"/>
        <w:ind w:firstLine="720"/>
        <w:jc w:val="both"/>
        <w:rPr>
          <w:i/>
          <w:color w:val="000000" w:themeColor="text1"/>
          <w:highlight w:val="white"/>
          <w:lang w:val="nl-NL"/>
        </w:rPr>
      </w:pPr>
      <w:r w:rsidRPr="00C411F0">
        <w:rPr>
          <w:i/>
          <w:color w:val="000000" w:themeColor="text1"/>
          <w:highlight w:val="white"/>
          <w:lang w:val="vi-VN"/>
        </w:rPr>
        <w:t xml:space="preserve">- </w:t>
      </w:r>
      <w:r w:rsidR="0024233A" w:rsidRPr="00C411F0">
        <w:rPr>
          <w:i/>
          <w:color w:val="000000" w:themeColor="text1"/>
          <w:highlight w:val="white"/>
          <w:lang w:val="nl-NL"/>
        </w:rPr>
        <w:t>Tác động tích cực:</w:t>
      </w:r>
    </w:p>
    <w:p w14:paraId="28110742" w14:textId="3EF03802"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w:t>
      </w:r>
      <w:r w:rsidRPr="009605FD">
        <w:rPr>
          <w:bCs/>
          <w:color w:val="000000" w:themeColor="text1"/>
          <w:sz w:val="28"/>
          <w:szCs w:val="28"/>
          <w:lang w:val="vi-VN"/>
        </w:rPr>
        <w:t>Việc</w:t>
      </w:r>
      <w:r w:rsidRPr="00C411F0">
        <w:rPr>
          <w:bCs/>
          <w:color w:val="000000" w:themeColor="text1"/>
          <w:sz w:val="28"/>
          <w:szCs w:val="28"/>
          <w:lang w:val="vi-VN"/>
        </w:rPr>
        <w:t xml:space="preserve"> quy định </w:t>
      </w:r>
      <w:r w:rsidR="00BF269A" w:rsidRPr="00C411F0">
        <w:rPr>
          <w:bCs/>
          <w:color w:val="000000" w:themeColor="text1"/>
          <w:sz w:val="28"/>
          <w:szCs w:val="28"/>
          <w:lang w:val="vi-VN"/>
        </w:rPr>
        <w:t>tiêu chí môi trường</w:t>
      </w:r>
      <w:r w:rsidRPr="00C411F0">
        <w:rPr>
          <w:bCs/>
          <w:color w:val="000000" w:themeColor="text1"/>
          <w:sz w:val="28"/>
          <w:szCs w:val="28"/>
          <w:lang w:val="vi-VN"/>
        </w:rPr>
        <w:t xml:space="preserve">, định danh rõ các loại hình dự án, tiêu chí sàng lọc, yêu cầu điều kiện đối với dự án xanh sẽ bảo đảm cơ sở pháp lý, tính rõ ràng, thống nhất, đồng bộ trên toàn quốc, tạo thuận lợi cho các tổ chức, cá nhân trong quá trình triển khai thực hiện các hoạt động liên quan đến Tín dụng xanh, Trái phiếu xanh; từ đó </w:t>
      </w:r>
      <w:r w:rsidRPr="009605FD">
        <w:rPr>
          <w:bCs/>
          <w:color w:val="000000" w:themeColor="text1"/>
          <w:sz w:val="28"/>
          <w:szCs w:val="28"/>
          <w:lang w:val="vi-VN"/>
        </w:rPr>
        <w:t>huy động được nhiều</w:t>
      </w:r>
      <w:r w:rsidRPr="00C411F0">
        <w:rPr>
          <w:bCs/>
          <w:color w:val="000000" w:themeColor="text1"/>
          <w:sz w:val="28"/>
          <w:szCs w:val="28"/>
          <w:lang w:val="vi-VN"/>
        </w:rPr>
        <w:t xml:space="preserve"> hơn </w:t>
      </w:r>
      <w:r w:rsidRPr="009605FD">
        <w:rPr>
          <w:bCs/>
          <w:color w:val="000000" w:themeColor="text1"/>
          <w:sz w:val="28"/>
          <w:szCs w:val="28"/>
          <w:lang w:val="vi-VN"/>
        </w:rPr>
        <w:t>nguồn lực, nguồn vốn ngoài ngân sách nhà nước vào đầu tư cho các hoạt động BVMT</w:t>
      </w:r>
      <w:r w:rsidRPr="00C411F0">
        <w:rPr>
          <w:bCs/>
          <w:color w:val="000000" w:themeColor="text1"/>
          <w:sz w:val="28"/>
          <w:szCs w:val="28"/>
          <w:lang w:val="vi-VN"/>
        </w:rPr>
        <w:t xml:space="preserve">. </w:t>
      </w:r>
    </w:p>
    <w:p w14:paraId="30502B98" w14:textId="7B2AF6B4" w:rsidR="0024233A" w:rsidRPr="009605FD"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Ngoài ra, việc mở rộng các loại hình dự án trong Danh mục dự án </w:t>
      </w:r>
      <w:r w:rsidR="00BF269A" w:rsidRPr="00C411F0">
        <w:rPr>
          <w:bCs/>
          <w:color w:val="000000" w:themeColor="text1"/>
          <w:sz w:val="28"/>
          <w:szCs w:val="28"/>
          <w:lang w:val="vi-VN"/>
        </w:rPr>
        <w:t xml:space="preserve">phân loại </w:t>
      </w:r>
      <w:r w:rsidRPr="00C411F0">
        <w:rPr>
          <w:bCs/>
          <w:color w:val="000000" w:themeColor="text1"/>
          <w:sz w:val="28"/>
          <w:szCs w:val="28"/>
          <w:lang w:val="vi-VN"/>
        </w:rPr>
        <w:t xml:space="preserve">xanh theo hướng toàn diện hơn (so với các hướng dẫn hiện hành đang được áp dụng trong các lĩnh vực ngành) như các dự án phục hồi môi trường bị suy thoái, ô nhiễm; dự án áp dụng BAT; dự án/chương trình giáo dục, đào tạo, truyền thông về môi trường… cũng sẽ mở ra cơ hội thu hút nguồn lực xã hội hoá đối với các loại hình dự án này, góp phần giảm </w:t>
      </w:r>
      <w:r w:rsidRPr="009605FD">
        <w:rPr>
          <w:bCs/>
          <w:color w:val="000000" w:themeColor="text1"/>
          <w:sz w:val="28"/>
          <w:szCs w:val="28"/>
          <w:lang w:val="vi-VN"/>
        </w:rPr>
        <w:t>áp lực ngân sách nhà nước khi</w:t>
      </w:r>
      <w:r w:rsidRPr="00C411F0">
        <w:rPr>
          <w:bCs/>
          <w:color w:val="000000" w:themeColor="text1"/>
          <w:sz w:val="28"/>
          <w:szCs w:val="28"/>
          <w:lang w:val="vi-VN"/>
        </w:rPr>
        <w:t xml:space="preserve"> nhu cầu nguồn kinh phí cho các</w:t>
      </w:r>
      <w:r w:rsidRPr="009605FD">
        <w:rPr>
          <w:bCs/>
          <w:color w:val="000000" w:themeColor="text1"/>
          <w:sz w:val="28"/>
          <w:szCs w:val="28"/>
          <w:lang w:val="vi-VN"/>
        </w:rPr>
        <w:t xml:space="preserve"> hoạt động BVMT vẫn tiếp tục gia tăng</w:t>
      </w:r>
      <w:r w:rsidRPr="00C411F0">
        <w:rPr>
          <w:bCs/>
          <w:color w:val="000000" w:themeColor="text1"/>
          <w:sz w:val="28"/>
          <w:szCs w:val="28"/>
          <w:lang w:val="vi-VN"/>
        </w:rPr>
        <w:t xml:space="preserve"> </w:t>
      </w:r>
      <w:r w:rsidRPr="009605FD">
        <w:rPr>
          <w:bCs/>
          <w:color w:val="000000" w:themeColor="text1"/>
          <w:sz w:val="28"/>
          <w:szCs w:val="28"/>
          <w:lang w:val="vi-VN"/>
        </w:rPr>
        <w:t>trong khi Nhà nước cần ưu tiên nguồn vốn cho các hoạt động phục hồi kinh tế do ảnh hưởng của đại dịch Covid-19.</w:t>
      </w:r>
    </w:p>
    <w:p w14:paraId="0EA53E0A" w14:textId="507BF3C2"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w:t>
      </w:r>
      <w:r w:rsidRPr="009605FD">
        <w:rPr>
          <w:bCs/>
          <w:color w:val="000000" w:themeColor="text1"/>
          <w:sz w:val="28"/>
          <w:szCs w:val="28"/>
          <w:lang w:val="vi-VN"/>
        </w:rPr>
        <w:t>Việc quy</w:t>
      </w:r>
      <w:r w:rsidRPr="00C411F0">
        <w:rPr>
          <w:bCs/>
          <w:color w:val="000000" w:themeColor="text1"/>
          <w:sz w:val="28"/>
          <w:szCs w:val="28"/>
          <w:lang w:val="vi-VN"/>
        </w:rPr>
        <w:t xml:space="preserve"> định rõ về </w:t>
      </w:r>
      <w:r w:rsidR="00BF269A" w:rsidRPr="00C411F0">
        <w:rPr>
          <w:bCs/>
          <w:color w:val="000000" w:themeColor="text1"/>
          <w:sz w:val="28"/>
          <w:szCs w:val="28"/>
          <w:lang w:val="vi-VN"/>
        </w:rPr>
        <w:t>tiêu chí môi trường</w:t>
      </w:r>
      <w:r w:rsidRPr="00C411F0">
        <w:rPr>
          <w:bCs/>
          <w:color w:val="000000" w:themeColor="text1"/>
          <w:sz w:val="28"/>
          <w:szCs w:val="28"/>
          <w:lang w:val="vi-VN"/>
        </w:rPr>
        <w:t xml:space="preserve">, </w:t>
      </w:r>
      <w:r w:rsidR="00BF269A" w:rsidRPr="00C411F0">
        <w:rPr>
          <w:bCs/>
          <w:color w:val="000000" w:themeColor="text1"/>
          <w:sz w:val="28"/>
          <w:szCs w:val="28"/>
          <w:lang w:val="vi-VN"/>
        </w:rPr>
        <w:t>d</w:t>
      </w:r>
      <w:r w:rsidRPr="00C411F0">
        <w:rPr>
          <w:bCs/>
          <w:color w:val="000000" w:themeColor="text1"/>
          <w:sz w:val="28"/>
          <w:szCs w:val="28"/>
          <w:lang w:val="vi-VN"/>
        </w:rPr>
        <w:t xml:space="preserve">anh mục </w:t>
      </w:r>
      <w:r w:rsidR="00BF269A" w:rsidRPr="00C411F0">
        <w:rPr>
          <w:bCs/>
          <w:color w:val="000000" w:themeColor="text1"/>
          <w:sz w:val="28"/>
          <w:szCs w:val="28"/>
          <w:lang w:val="vi-VN"/>
        </w:rPr>
        <w:t xml:space="preserve">phân loại </w:t>
      </w:r>
      <w:r w:rsidRPr="00C411F0">
        <w:rPr>
          <w:bCs/>
          <w:color w:val="000000" w:themeColor="text1"/>
          <w:sz w:val="28"/>
          <w:szCs w:val="28"/>
          <w:lang w:val="vi-VN"/>
        </w:rPr>
        <w:t xml:space="preserve">xanh </w:t>
      </w:r>
      <w:r w:rsidRPr="009605FD">
        <w:rPr>
          <w:bCs/>
          <w:color w:val="000000" w:themeColor="text1"/>
          <w:sz w:val="28"/>
          <w:szCs w:val="28"/>
          <w:lang w:val="vi-VN"/>
        </w:rPr>
        <w:t>sẽ</w:t>
      </w:r>
      <w:r w:rsidRPr="00C411F0">
        <w:rPr>
          <w:bCs/>
          <w:color w:val="000000" w:themeColor="text1"/>
          <w:sz w:val="28"/>
          <w:szCs w:val="28"/>
          <w:lang w:val="vi-VN"/>
        </w:rPr>
        <w:t xml:space="preserve"> bảo đảm sự tin cậy, gia tăng</w:t>
      </w:r>
      <w:r w:rsidRPr="009605FD">
        <w:rPr>
          <w:bCs/>
          <w:color w:val="000000" w:themeColor="text1"/>
          <w:sz w:val="28"/>
          <w:szCs w:val="28"/>
          <w:lang w:val="vi-VN"/>
        </w:rPr>
        <w:t xml:space="preserve"> mức độ tin tưởng và sự sẵn lòng tham gia của các tổ chức</w:t>
      </w:r>
      <w:r w:rsidRPr="00C411F0">
        <w:rPr>
          <w:bCs/>
          <w:color w:val="000000" w:themeColor="text1"/>
          <w:sz w:val="28"/>
          <w:szCs w:val="28"/>
          <w:lang w:val="vi-VN"/>
        </w:rPr>
        <w:t>, nhà đầu tư</w:t>
      </w:r>
      <w:r w:rsidRPr="009605FD">
        <w:rPr>
          <w:bCs/>
          <w:color w:val="000000" w:themeColor="text1"/>
          <w:sz w:val="28"/>
          <w:szCs w:val="28"/>
          <w:lang w:val="vi-VN"/>
        </w:rPr>
        <w:t xml:space="preserve"> quốc tế đối với hoạt động tín dụng</w:t>
      </w:r>
      <w:r w:rsidRPr="00C411F0">
        <w:rPr>
          <w:bCs/>
          <w:color w:val="000000" w:themeColor="text1"/>
          <w:sz w:val="28"/>
          <w:szCs w:val="28"/>
          <w:lang w:val="vi-VN"/>
        </w:rPr>
        <w:t xml:space="preserve"> xanh, trái phiếu xanh</w:t>
      </w:r>
      <w:r w:rsidRPr="009605FD">
        <w:rPr>
          <w:bCs/>
          <w:color w:val="000000" w:themeColor="text1"/>
          <w:sz w:val="28"/>
          <w:szCs w:val="28"/>
          <w:lang w:val="vi-VN"/>
        </w:rPr>
        <w:t xml:space="preserve"> của Việt Nam</w:t>
      </w:r>
      <w:r w:rsidRPr="00C411F0">
        <w:rPr>
          <w:bCs/>
          <w:color w:val="000000" w:themeColor="text1"/>
          <w:sz w:val="28"/>
          <w:szCs w:val="28"/>
          <w:lang w:val="vi-VN"/>
        </w:rPr>
        <w:t>, thu hút được nguồn vốn đầu tư nước ngoài vào các hoạt động BVMT ở Việt Nam.</w:t>
      </w:r>
    </w:p>
    <w:p w14:paraId="7449B49C" w14:textId="77777777"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Việc quy định các loại hình dự án xanh gắn kết với mã ngành kinh tế sẽ tạo điều kiện thuận lợi cho việc thống kê, theo dõi, quản lý các nguồn vốn đầu tư vào dự án xanh và hiệu quả đi kèm. Trên cơ sở này, Nhà nước có thể quản trị, điều tiết, phân bổ các nguồn vốn cho hoạt động BVMT ở các cấp Trung ương, địa phương một cách hiệu quả nhất.</w:t>
      </w:r>
    </w:p>
    <w:p w14:paraId="4AA2C09A" w14:textId="2CB236A5" w:rsidR="0024233A" w:rsidRPr="00C411F0" w:rsidRDefault="00FC3D00" w:rsidP="002E1679">
      <w:pPr>
        <w:widowControl w:val="0"/>
        <w:spacing w:before="80" w:line="340" w:lineRule="exact"/>
        <w:ind w:firstLine="720"/>
        <w:jc w:val="both"/>
        <w:rPr>
          <w:b/>
          <w:bCs/>
          <w:i/>
          <w:color w:val="000000" w:themeColor="text1"/>
          <w:highlight w:val="white"/>
          <w:lang w:val="vi-VN"/>
        </w:rPr>
      </w:pPr>
      <w:r w:rsidRPr="00C411F0">
        <w:rPr>
          <w:b/>
          <w:bCs/>
          <w:i/>
          <w:color w:val="000000" w:themeColor="text1"/>
          <w:highlight w:val="white"/>
          <w:lang w:val="vi-VN"/>
        </w:rPr>
        <w:lastRenderedPageBreak/>
        <w:t>*</w:t>
      </w:r>
      <w:r w:rsidR="0024233A" w:rsidRPr="00C411F0">
        <w:rPr>
          <w:b/>
          <w:bCs/>
          <w:i/>
          <w:color w:val="000000" w:themeColor="text1"/>
          <w:highlight w:val="white"/>
          <w:lang w:val="vi-VN"/>
        </w:rPr>
        <w:t xml:space="preserve"> Đối với doanh nghiệp:</w:t>
      </w:r>
    </w:p>
    <w:p w14:paraId="60C3BE91" w14:textId="7EFA9C7F" w:rsidR="0024233A" w:rsidRPr="00C411F0" w:rsidRDefault="00FC3D00" w:rsidP="002E1679">
      <w:pPr>
        <w:widowControl w:val="0"/>
        <w:spacing w:before="80" w:line="340" w:lineRule="exact"/>
        <w:ind w:firstLine="720"/>
        <w:jc w:val="both"/>
        <w:rPr>
          <w:i/>
          <w:color w:val="000000" w:themeColor="text1"/>
          <w:highlight w:val="white"/>
          <w:lang w:val="nl-NL"/>
        </w:rPr>
      </w:pPr>
      <w:r w:rsidRPr="00C411F0">
        <w:rPr>
          <w:i/>
          <w:color w:val="000000" w:themeColor="text1"/>
          <w:highlight w:val="white"/>
          <w:lang w:val="vi-VN"/>
        </w:rPr>
        <w:t xml:space="preserve">- </w:t>
      </w:r>
      <w:r w:rsidR="0024233A" w:rsidRPr="00C411F0">
        <w:rPr>
          <w:i/>
          <w:color w:val="000000" w:themeColor="text1"/>
          <w:highlight w:val="white"/>
          <w:lang w:val="nl-NL"/>
        </w:rPr>
        <w:t>Tác động tiêu cực:</w:t>
      </w:r>
    </w:p>
    <w:p w14:paraId="5072ACB9" w14:textId="4565AFE9"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nl-NL"/>
        </w:rPr>
        <w:t>+ Đối với các TCTD</w:t>
      </w:r>
      <w:r w:rsidRPr="00C411F0">
        <w:rPr>
          <w:bCs/>
          <w:color w:val="000000" w:themeColor="text1"/>
          <w:sz w:val="28"/>
          <w:szCs w:val="28"/>
          <w:lang w:val="vi-VN"/>
        </w:rPr>
        <w:t xml:space="preserve"> đang thực hiện cấp tín dụng xanh</w:t>
      </w:r>
      <w:r w:rsidRPr="009605FD">
        <w:rPr>
          <w:bCs/>
          <w:color w:val="000000" w:themeColor="text1"/>
          <w:sz w:val="28"/>
          <w:szCs w:val="28"/>
          <w:lang w:val="nl-NL"/>
        </w:rPr>
        <w:t>:</w:t>
      </w:r>
      <w:r w:rsidRPr="00C411F0">
        <w:rPr>
          <w:bCs/>
          <w:color w:val="000000" w:themeColor="text1"/>
          <w:sz w:val="28"/>
          <w:szCs w:val="28"/>
          <w:lang w:val="vi-VN"/>
        </w:rPr>
        <w:t xml:space="preserve"> Hầu hết các TCTD hiện nay đang thực hiện cấp tín dụng xanh theo hướng dẫn của NHNN và các Nhà tài trợ quốc tế uỷ thác/đầu tư vốn (nếu có). Với việc ban hành </w:t>
      </w:r>
      <w:r w:rsidR="00FC3D00" w:rsidRPr="00C411F0">
        <w:rPr>
          <w:bCs/>
          <w:color w:val="000000" w:themeColor="text1"/>
          <w:sz w:val="28"/>
          <w:szCs w:val="28"/>
          <w:lang w:val="vi-VN"/>
        </w:rPr>
        <w:t>tiêu chí môi trường và d</w:t>
      </w:r>
      <w:r w:rsidRPr="00C411F0">
        <w:rPr>
          <w:bCs/>
          <w:color w:val="000000" w:themeColor="text1"/>
          <w:sz w:val="28"/>
          <w:szCs w:val="28"/>
          <w:lang w:val="vi-VN"/>
        </w:rPr>
        <w:t xml:space="preserve">anh mục </w:t>
      </w:r>
      <w:r w:rsidR="00FC3D00" w:rsidRPr="00C411F0">
        <w:rPr>
          <w:bCs/>
          <w:color w:val="000000" w:themeColor="text1"/>
          <w:sz w:val="28"/>
          <w:szCs w:val="28"/>
          <w:lang w:val="vi-VN"/>
        </w:rPr>
        <w:t xml:space="preserve">phân loại </w:t>
      </w:r>
      <w:r w:rsidRPr="00C411F0">
        <w:rPr>
          <w:bCs/>
          <w:color w:val="000000" w:themeColor="text1"/>
          <w:sz w:val="28"/>
          <w:szCs w:val="28"/>
          <w:lang w:val="vi-VN"/>
        </w:rPr>
        <w:t xml:space="preserve">xanh các TCTD này sẽ phải mất công sức, thời gian để rà soát, đối chiếu và điều chỉnh các chương trình, quy trình thẩm định, cấp tính dụng xanh hiện hành. Tuy nhiên, như đã nêu trên, quá trình xây dựng Danh mục </w:t>
      </w:r>
      <w:r w:rsidR="00FC3D00" w:rsidRPr="00C411F0">
        <w:rPr>
          <w:bCs/>
          <w:color w:val="000000" w:themeColor="text1"/>
          <w:sz w:val="28"/>
          <w:szCs w:val="28"/>
          <w:lang w:val="vi-VN"/>
        </w:rPr>
        <w:t xml:space="preserve">phân loại </w:t>
      </w:r>
      <w:r w:rsidRPr="00C411F0">
        <w:rPr>
          <w:bCs/>
          <w:color w:val="000000" w:themeColor="text1"/>
          <w:sz w:val="28"/>
          <w:szCs w:val="28"/>
          <w:lang w:val="vi-VN"/>
        </w:rPr>
        <w:t>xanh có xem xét, kế thừa các hướng dẫn hiện hành, kết hợp với việc tập huấn, đào tạo của các cơ quan quản lý, việc quy định này sẽ không làm các TCTD tốn kém nhiều về thời gian, kinh phí.</w:t>
      </w:r>
    </w:p>
    <w:p w14:paraId="5A590C33" w14:textId="5480EC78" w:rsidR="0024233A" w:rsidRPr="00C411F0" w:rsidRDefault="00FC3D00" w:rsidP="002E1679">
      <w:pPr>
        <w:pStyle w:val="NormalWeb"/>
        <w:widowControl w:val="0"/>
        <w:shd w:val="clear" w:color="auto" w:fill="FFFFFF"/>
        <w:spacing w:before="80" w:beforeAutospacing="0" w:after="0" w:afterAutospacing="0" w:line="340" w:lineRule="exact"/>
        <w:ind w:firstLine="720"/>
        <w:rPr>
          <w:bCs/>
          <w:i/>
          <w:iCs/>
          <w:color w:val="000000" w:themeColor="text1"/>
          <w:sz w:val="28"/>
          <w:szCs w:val="28"/>
          <w:lang w:val="vi-VN"/>
        </w:rPr>
      </w:pPr>
      <w:r w:rsidRPr="00C411F0">
        <w:rPr>
          <w:bCs/>
          <w:i/>
          <w:iCs/>
          <w:color w:val="000000" w:themeColor="text1"/>
          <w:sz w:val="28"/>
          <w:szCs w:val="28"/>
          <w:lang w:val="vi-VN"/>
        </w:rPr>
        <w:t xml:space="preserve">- </w:t>
      </w:r>
      <w:r w:rsidR="0024233A" w:rsidRPr="009605FD">
        <w:rPr>
          <w:bCs/>
          <w:i/>
          <w:iCs/>
          <w:color w:val="000000" w:themeColor="text1"/>
          <w:sz w:val="28"/>
          <w:szCs w:val="28"/>
          <w:lang w:val="vi-VN"/>
        </w:rPr>
        <w:t>Tác</w:t>
      </w:r>
      <w:r w:rsidR="0024233A" w:rsidRPr="00C411F0">
        <w:rPr>
          <w:bCs/>
          <w:i/>
          <w:iCs/>
          <w:color w:val="000000" w:themeColor="text1"/>
          <w:sz w:val="28"/>
          <w:szCs w:val="28"/>
          <w:lang w:val="vi-VN"/>
        </w:rPr>
        <w:t xml:space="preserve"> động tích cực:</w:t>
      </w:r>
    </w:p>
    <w:p w14:paraId="2535D5F3" w14:textId="27AF0DFF"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Về cơ bản việc quy định rõ </w:t>
      </w:r>
      <w:r w:rsidR="00FC3D00" w:rsidRPr="00C411F0">
        <w:rPr>
          <w:bCs/>
          <w:color w:val="000000" w:themeColor="text1"/>
          <w:sz w:val="28"/>
          <w:szCs w:val="28"/>
          <w:lang w:val="vi-VN"/>
        </w:rPr>
        <w:t xml:space="preserve">tiêu chí môi trường </w:t>
      </w:r>
      <w:r w:rsidRPr="00C411F0">
        <w:rPr>
          <w:bCs/>
          <w:color w:val="000000" w:themeColor="text1"/>
          <w:sz w:val="28"/>
          <w:szCs w:val="28"/>
          <w:lang w:val="vi-VN"/>
        </w:rPr>
        <w:t xml:space="preserve">và ban hành Danh mục </w:t>
      </w:r>
      <w:r w:rsidR="00FC3D00" w:rsidRPr="00C411F0">
        <w:rPr>
          <w:bCs/>
          <w:color w:val="000000" w:themeColor="text1"/>
          <w:sz w:val="28"/>
          <w:szCs w:val="28"/>
          <w:lang w:val="vi-VN"/>
        </w:rPr>
        <w:t xml:space="preserve">phân loại </w:t>
      </w:r>
      <w:r w:rsidRPr="00C411F0">
        <w:rPr>
          <w:bCs/>
          <w:color w:val="000000" w:themeColor="text1"/>
          <w:sz w:val="28"/>
          <w:szCs w:val="28"/>
          <w:lang w:val="vi-VN"/>
        </w:rPr>
        <w:t>xanh đem lại nhiều tác động tích cực cho các nhóm doanh nghiệp có liên quan, bao gồm các TCTD, chủ thể phát hành TPX, chủ dự án lẫn các nhà đầu tư.</w:t>
      </w:r>
    </w:p>
    <w:p w14:paraId="1D5D8174" w14:textId="77777777"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w:t>
      </w:r>
      <w:r w:rsidRPr="009605FD">
        <w:rPr>
          <w:bCs/>
          <w:color w:val="000000" w:themeColor="text1"/>
          <w:sz w:val="28"/>
          <w:szCs w:val="28"/>
          <w:lang w:val="vi-VN"/>
        </w:rPr>
        <w:t xml:space="preserve"> Đối với các TCTD</w:t>
      </w:r>
      <w:r w:rsidRPr="00C411F0">
        <w:rPr>
          <w:bCs/>
          <w:color w:val="000000" w:themeColor="text1"/>
          <w:sz w:val="28"/>
          <w:szCs w:val="28"/>
          <w:lang w:val="vi-VN"/>
        </w:rPr>
        <w:t xml:space="preserve"> và chủ thể phát hành TPX (doanh nghiệp): </w:t>
      </w:r>
    </w:p>
    <w:p w14:paraId="273BFF22" w14:textId="77777777"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Các</w:t>
      </w:r>
      <w:r w:rsidRPr="00C411F0">
        <w:rPr>
          <w:bCs/>
          <w:color w:val="000000" w:themeColor="text1"/>
          <w:sz w:val="28"/>
          <w:szCs w:val="28"/>
          <w:lang w:val="vi-VN"/>
        </w:rPr>
        <w:t xml:space="preserve"> TCTD và chủ thể phát hành TPX sẽ triển khai hoạt động thuận lợi, nhanh chóng, tiết kiệm được nguồn lực và thời gian hơn</w:t>
      </w:r>
      <w:r w:rsidRPr="009605FD">
        <w:rPr>
          <w:bCs/>
          <w:color w:val="000000" w:themeColor="text1"/>
          <w:sz w:val="28"/>
          <w:szCs w:val="28"/>
          <w:lang w:val="vi-VN"/>
        </w:rPr>
        <w:t xml:space="preserve"> khi</w:t>
      </w:r>
      <w:r w:rsidRPr="00C411F0">
        <w:rPr>
          <w:bCs/>
          <w:color w:val="000000" w:themeColor="text1"/>
          <w:sz w:val="28"/>
          <w:szCs w:val="28"/>
          <w:lang w:val="vi-VN"/>
        </w:rPr>
        <w:t xml:space="preserve"> có các </w:t>
      </w:r>
      <w:r w:rsidRPr="009605FD">
        <w:rPr>
          <w:bCs/>
          <w:color w:val="000000" w:themeColor="text1"/>
          <w:sz w:val="28"/>
          <w:szCs w:val="28"/>
          <w:lang w:val="vi-VN"/>
        </w:rPr>
        <w:t>quy định</w:t>
      </w:r>
      <w:r w:rsidRPr="00C411F0">
        <w:rPr>
          <w:bCs/>
          <w:color w:val="000000" w:themeColor="text1"/>
          <w:sz w:val="28"/>
          <w:szCs w:val="28"/>
          <w:lang w:val="vi-VN"/>
        </w:rPr>
        <w:t xml:space="preserve"> pháp lý</w:t>
      </w:r>
      <w:r w:rsidRPr="009605FD">
        <w:rPr>
          <w:bCs/>
          <w:color w:val="000000" w:themeColor="text1"/>
          <w:sz w:val="28"/>
          <w:szCs w:val="28"/>
          <w:lang w:val="vi-VN"/>
        </w:rPr>
        <w:t xml:space="preserve"> rõ ràng,</w:t>
      </w:r>
      <w:r w:rsidRPr="00C411F0">
        <w:rPr>
          <w:bCs/>
          <w:color w:val="000000" w:themeColor="text1"/>
          <w:sz w:val="28"/>
          <w:szCs w:val="28"/>
          <w:lang w:val="vi-VN"/>
        </w:rPr>
        <w:t xml:space="preserve"> cụ thể và</w:t>
      </w:r>
      <w:r w:rsidRPr="009605FD">
        <w:rPr>
          <w:bCs/>
          <w:color w:val="000000" w:themeColor="text1"/>
          <w:sz w:val="28"/>
          <w:szCs w:val="28"/>
          <w:lang w:val="vi-VN"/>
        </w:rPr>
        <w:t xml:space="preserve"> đồng bộ. </w:t>
      </w:r>
      <w:r w:rsidRPr="00C411F0">
        <w:rPr>
          <w:bCs/>
          <w:color w:val="000000" w:themeColor="text1"/>
          <w:sz w:val="28"/>
          <w:szCs w:val="28"/>
          <w:lang w:val="vi-VN"/>
        </w:rPr>
        <w:t xml:space="preserve">Việc mở rộng loại hình dự án xanh cũng giúp các TCTD cấp tín dụng xanh mở rộng đối tượng khách hàng và các chủ thể phát hành TPX được mở rộng khả năng huy động nguồn vốn. Đặc biệt, quy định có tính pháp lý, rõ ràng cũng sẽ gia tăng niềm tin và sự sẵn lòng đầu tư vào các dự án xanh của các nhà đầu tư nước ngoài vào Việt Nam, khi đó các TCTD và chủ thể phát hành trái phiếu xanh là đối tượng hưởng lợi trực tiếp về mặt kinh tế. </w:t>
      </w:r>
    </w:p>
    <w:p w14:paraId="43B77379" w14:textId="0BABCE18" w:rsidR="0024233A" w:rsidRPr="00C411F0"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Ngoài ra, việc quy định Danh mục </w:t>
      </w:r>
      <w:r w:rsidR="00FC3D00" w:rsidRPr="00C411F0">
        <w:rPr>
          <w:bCs/>
          <w:color w:val="000000" w:themeColor="text1"/>
          <w:sz w:val="28"/>
          <w:szCs w:val="28"/>
          <w:lang w:val="vi-VN"/>
        </w:rPr>
        <w:t xml:space="preserve">phân loại </w:t>
      </w:r>
      <w:r w:rsidRPr="00C411F0">
        <w:rPr>
          <w:bCs/>
          <w:color w:val="000000" w:themeColor="text1"/>
          <w:sz w:val="28"/>
          <w:szCs w:val="28"/>
          <w:lang w:val="vi-VN"/>
        </w:rPr>
        <w:t xml:space="preserve">xanh gắn với mã ngành kinh tế theo Quyết định </w:t>
      </w:r>
      <w:r w:rsidRPr="00C411F0">
        <w:rPr>
          <w:color w:val="000000" w:themeColor="text1"/>
          <w:sz w:val="28"/>
          <w:szCs w:val="28"/>
          <w:lang w:val="vi-VN" w:eastAsia="vi-VN"/>
        </w:rPr>
        <w:t xml:space="preserve">số 27/2018/QĐ-TTg </w:t>
      </w:r>
      <w:r w:rsidRPr="00C411F0">
        <w:rPr>
          <w:bCs/>
          <w:color w:val="000000" w:themeColor="text1"/>
          <w:sz w:val="28"/>
          <w:szCs w:val="28"/>
          <w:lang w:val="vi-VN"/>
        </w:rPr>
        <w:t xml:space="preserve">cũng tạo điều kiện thuận lợi, tiết kiệm được nhiều thời gian, công sức cho các TCTD/chủ thể phát hành TPX trong việc thống kê, tính dư nợ tín dụng xanh và báo cáo. </w:t>
      </w:r>
    </w:p>
    <w:p w14:paraId="6FD5C4AB" w14:textId="77777777" w:rsidR="0024233A" w:rsidRPr="009605FD" w:rsidRDefault="0024233A" w:rsidP="002E1679">
      <w:pPr>
        <w:pStyle w:val="NormalWeb"/>
        <w:widowControl w:val="0"/>
        <w:shd w:val="clear" w:color="auto" w:fill="FFFFFF"/>
        <w:spacing w:before="8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 Đối với các chủ dự án:</w:t>
      </w:r>
    </w:p>
    <w:p w14:paraId="76E6BA8C" w14:textId="19787ECB" w:rsidR="0024233A" w:rsidRPr="00C411F0"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Khi thiếu các quy định pháp lý về danh mục, tiêu chí, điều kiện của dự án xanh, c</w:t>
      </w:r>
      <w:r w:rsidRPr="009605FD">
        <w:rPr>
          <w:bCs/>
          <w:color w:val="000000" w:themeColor="text1"/>
          <w:sz w:val="28"/>
          <w:szCs w:val="28"/>
          <w:lang w:val="vi-VN"/>
        </w:rPr>
        <w:t>ác chủ dự án</w:t>
      </w:r>
      <w:r w:rsidRPr="00C411F0">
        <w:rPr>
          <w:bCs/>
          <w:color w:val="000000" w:themeColor="text1"/>
          <w:sz w:val="28"/>
          <w:szCs w:val="28"/>
          <w:lang w:val="vi-VN"/>
        </w:rPr>
        <w:t xml:space="preserve"> thường</w:t>
      </w:r>
      <w:r w:rsidRPr="009605FD">
        <w:rPr>
          <w:bCs/>
          <w:color w:val="000000" w:themeColor="text1"/>
          <w:sz w:val="28"/>
          <w:szCs w:val="28"/>
          <w:lang w:val="vi-VN"/>
        </w:rPr>
        <w:t xml:space="preserve"> không chủ động biết được trách nhiệm, yêu cầu để chuẩn bị trong quy trình xin cấp vốn</w:t>
      </w:r>
      <w:r w:rsidRPr="00C411F0">
        <w:rPr>
          <w:bCs/>
          <w:color w:val="000000" w:themeColor="text1"/>
          <w:sz w:val="28"/>
          <w:szCs w:val="28"/>
          <w:lang w:val="vi-VN"/>
        </w:rPr>
        <w:t>,</w:t>
      </w:r>
      <w:r w:rsidRPr="009605FD">
        <w:rPr>
          <w:bCs/>
          <w:color w:val="000000" w:themeColor="text1"/>
          <w:sz w:val="28"/>
          <w:szCs w:val="28"/>
          <w:lang w:val="vi-VN"/>
        </w:rPr>
        <w:t xml:space="preserve"> dẫn đến tốn kém thời gian, công sức và kinh phí.</w:t>
      </w:r>
      <w:r w:rsidRPr="00C411F0">
        <w:rPr>
          <w:bCs/>
          <w:color w:val="000000" w:themeColor="text1"/>
          <w:sz w:val="28"/>
          <w:szCs w:val="28"/>
          <w:lang w:val="vi-VN"/>
        </w:rPr>
        <w:t xml:space="preserve"> Do đó, với phương án đề xuất, các chủ dự án có thể </w:t>
      </w:r>
      <w:r w:rsidRPr="009605FD">
        <w:rPr>
          <w:bCs/>
          <w:color w:val="000000" w:themeColor="text1"/>
          <w:sz w:val="28"/>
          <w:szCs w:val="28"/>
          <w:lang w:val="vi-VN"/>
        </w:rPr>
        <w:t>chủ động bố trí, tiết kiệm nguồn lực, kinh phí</w:t>
      </w:r>
      <w:r w:rsidRPr="00C411F0">
        <w:rPr>
          <w:bCs/>
          <w:color w:val="000000" w:themeColor="text1"/>
          <w:sz w:val="28"/>
          <w:szCs w:val="28"/>
          <w:lang w:val="vi-VN"/>
        </w:rPr>
        <w:t xml:space="preserve"> hoặc/và </w:t>
      </w:r>
      <w:r w:rsidRPr="009605FD">
        <w:rPr>
          <w:bCs/>
          <w:color w:val="000000" w:themeColor="text1"/>
          <w:sz w:val="28"/>
          <w:szCs w:val="28"/>
          <w:lang w:val="vi-VN"/>
        </w:rPr>
        <w:t>kết hợp thực hiện hiệu quả các yêu cầu của các cơ quan quản lý trong lĩnh vực môi trường với yêu cầu của các TCTD</w:t>
      </w:r>
      <w:r w:rsidRPr="00C411F0">
        <w:rPr>
          <w:bCs/>
          <w:color w:val="000000" w:themeColor="text1"/>
          <w:sz w:val="28"/>
          <w:szCs w:val="28"/>
          <w:lang w:val="vi-VN"/>
        </w:rPr>
        <w:t xml:space="preserve"> </w:t>
      </w:r>
      <w:r w:rsidRPr="009605FD">
        <w:rPr>
          <w:bCs/>
          <w:color w:val="000000" w:themeColor="text1"/>
          <w:sz w:val="28"/>
          <w:szCs w:val="28"/>
          <w:lang w:val="vi-VN"/>
        </w:rPr>
        <w:t>cho vay</w:t>
      </w:r>
      <w:r w:rsidR="00E41BC7">
        <w:rPr>
          <w:bCs/>
          <w:color w:val="000000" w:themeColor="text1"/>
          <w:sz w:val="28"/>
          <w:szCs w:val="28"/>
          <w:lang w:val="vi-VN"/>
        </w:rPr>
        <w:t>, đặc biệt đối với các dự án đang có nhu cầu chuyển đổi xanh.</w:t>
      </w:r>
    </w:p>
    <w:p w14:paraId="0C8F7264" w14:textId="3EA4F51B" w:rsidR="0024233A" w:rsidRPr="009605FD"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Ngoài ra, với việc mở rộng loại hình dự án xanh, </w:t>
      </w:r>
      <w:r w:rsidRPr="009605FD">
        <w:rPr>
          <w:bCs/>
          <w:color w:val="000000" w:themeColor="text1"/>
          <w:sz w:val="28"/>
          <w:szCs w:val="28"/>
          <w:lang w:val="vi-VN"/>
        </w:rPr>
        <w:t>các chủ dự án cũng</w:t>
      </w:r>
      <w:r w:rsidRPr="00C411F0">
        <w:rPr>
          <w:bCs/>
          <w:color w:val="000000" w:themeColor="text1"/>
          <w:sz w:val="28"/>
          <w:szCs w:val="28"/>
          <w:lang w:val="vi-VN"/>
        </w:rPr>
        <w:t xml:space="preserve"> được hưởng lợi khi </w:t>
      </w:r>
      <w:r w:rsidRPr="009605FD">
        <w:rPr>
          <w:bCs/>
          <w:color w:val="000000" w:themeColor="text1"/>
          <w:sz w:val="28"/>
          <w:szCs w:val="28"/>
          <w:lang w:val="vi-VN"/>
        </w:rPr>
        <w:t>có nhiều cơ hội hơn để tiếp cận với các nguồn v</w:t>
      </w:r>
      <w:r w:rsidR="00E20728">
        <w:rPr>
          <w:bCs/>
          <w:color w:val="000000" w:themeColor="text1"/>
          <w:sz w:val="28"/>
          <w:szCs w:val="28"/>
          <w:lang w:val="vi-VN"/>
        </w:rPr>
        <w:t>ố</w:t>
      </w:r>
      <w:r w:rsidRPr="009605FD">
        <w:rPr>
          <w:bCs/>
          <w:color w:val="000000" w:themeColor="text1"/>
          <w:sz w:val="28"/>
          <w:szCs w:val="28"/>
          <w:lang w:val="vi-VN"/>
        </w:rPr>
        <w:t xml:space="preserve">n, ưu đãi khi thị trường tín dụng xanh ngày càng phát triển. </w:t>
      </w:r>
    </w:p>
    <w:p w14:paraId="62B6BD3B" w14:textId="61E9E6F0" w:rsidR="0024233A" w:rsidRPr="00C411F0"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lastRenderedPageBreak/>
        <w:t>+ Đối với các nhà đầu tư, người dân:</w:t>
      </w:r>
      <w:r w:rsidR="00C42F58" w:rsidRPr="00C411F0">
        <w:rPr>
          <w:bCs/>
          <w:color w:val="000000" w:themeColor="text1"/>
          <w:sz w:val="28"/>
          <w:szCs w:val="28"/>
          <w:lang w:val="vi-VN"/>
        </w:rPr>
        <w:t xml:space="preserve"> </w:t>
      </w:r>
      <w:r w:rsidRPr="009605FD">
        <w:rPr>
          <w:bCs/>
          <w:color w:val="000000" w:themeColor="text1"/>
          <w:sz w:val="28"/>
          <w:szCs w:val="28"/>
          <w:lang w:val="vi-VN"/>
        </w:rPr>
        <w:t>Các</w:t>
      </w:r>
      <w:r w:rsidRPr="00C411F0">
        <w:rPr>
          <w:bCs/>
          <w:color w:val="000000" w:themeColor="text1"/>
          <w:sz w:val="28"/>
          <w:szCs w:val="28"/>
          <w:lang w:val="vi-VN"/>
        </w:rPr>
        <w:t xml:space="preserve"> nhà đầu tư và n</w:t>
      </w:r>
      <w:r w:rsidRPr="009605FD">
        <w:rPr>
          <w:bCs/>
          <w:color w:val="000000" w:themeColor="text1"/>
          <w:sz w:val="28"/>
          <w:szCs w:val="28"/>
          <w:lang w:val="vi-VN"/>
        </w:rPr>
        <w:t>gười dân có cơ hội tham gia vào nhiều</w:t>
      </w:r>
      <w:r w:rsidRPr="00C411F0">
        <w:rPr>
          <w:bCs/>
          <w:color w:val="000000" w:themeColor="text1"/>
          <w:sz w:val="28"/>
          <w:szCs w:val="28"/>
          <w:lang w:val="vi-VN"/>
        </w:rPr>
        <w:t xml:space="preserve"> loại hình dự án thông qua</w:t>
      </w:r>
      <w:r w:rsidRPr="009605FD">
        <w:rPr>
          <w:bCs/>
          <w:color w:val="000000" w:themeColor="text1"/>
          <w:sz w:val="28"/>
          <w:szCs w:val="28"/>
          <w:lang w:val="vi-VN"/>
        </w:rPr>
        <w:t xml:space="preserve"> hoạt động vay vốn tín dụng xanh hoặc</w:t>
      </w:r>
      <w:r w:rsidRPr="00C411F0">
        <w:rPr>
          <w:bCs/>
          <w:color w:val="000000" w:themeColor="text1"/>
          <w:sz w:val="28"/>
          <w:szCs w:val="28"/>
          <w:lang w:val="vi-VN"/>
        </w:rPr>
        <w:t xml:space="preserve"> mua trái phiếu xanh </w:t>
      </w:r>
      <w:r w:rsidRPr="009605FD">
        <w:rPr>
          <w:bCs/>
          <w:color w:val="000000" w:themeColor="text1"/>
          <w:sz w:val="28"/>
          <w:szCs w:val="28"/>
          <w:lang w:val="vi-VN"/>
        </w:rPr>
        <w:t>để tăng</w:t>
      </w:r>
      <w:r w:rsidRPr="00C411F0">
        <w:rPr>
          <w:bCs/>
          <w:color w:val="000000" w:themeColor="text1"/>
          <w:sz w:val="28"/>
          <w:szCs w:val="28"/>
          <w:lang w:val="vi-VN"/>
        </w:rPr>
        <w:t xml:space="preserve"> nguồn lợi</w:t>
      </w:r>
      <w:r w:rsidRPr="009605FD">
        <w:rPr>
          <w:bCs/>
          <w:color w:val="000000" w:themeColor="text1"/>
          <w:sz w:val="28"/>
          <w:szCs w:val="28"/>
          <w:lang w:val="vi-VN"/>
        </w:rPr>
        <w:t xml:space="preserve"> kinh tế.</w:t>
      </w:r>
    </w:p>
    <w:p w14:paraId="17865EC5" w14:textId="791023A8" w:rsidR="0024233A" w:rsidRPr="009605FD" w:rsidRDefault="00FC3D00" w:rsidP="007054F5">
      <w:pPr>
        <w:widowControl w:val="0"/>
        <w:spacing w:before="120" w:line="340" w:lineRule="exact"/>
        <w:ind w:firstLine="720"/>
        <w:rPr>
          <w:b/>
          <w:bCs/>
          <w:i/>
          <w:color w:val="000000" w:themeColor="text1"/>
          <w:lang w:val="vi-VN"/>
        </w:rPr>
      </w:pPr>
      <w:r w:rsidRPr="009605FD">
        <w:rPr>
          <w:b/>
          <w:bCs/>
          <w:i/>
          <w:color w:val="000000" w:themeColor="text1"/>
          <w:lang w:val="vi-VN"/>
        </w:rPr>
        <w:t>b</w:t>
      </w:r>
      <w:r w:rsidRPr="00C411F0">
        <w:rPr>
          <w:b/>
          <w:bCs/>
          <w:i/>
          <w:color w:val="000000" w:themeColor="text1"/>
          <w:lang w:val="vi-VN"/>
        </w:rPr>
        <w:t>)</w:t>
      </w:r>
      <w:r w:rsidR="0024233A" w:rsidRPr="009605FD">
        <w:rPr>
          <w:b/>
          <w:bCs/>
          <w:i/>
          <w:color w:val="000000" w:themeColor="text1"/>
          <w:lang w:val="vi-VN"/>
        </w:rPr>
        <w:t xml:space="preserve"> Tác động về xã hội: </w:t>
      </w:r>
    </w:p>
    <w:p w14:paraId="18EE7958" w14:textId="36FC655B" w:rsidR="0024233A" w:rsidRPr="00C411F0" w:rsidRDefault="00FC3D00" w:rsidP="007054F5">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w:t>
      </w:r>
      <w:r w:rsidR="0024233A" w:rsidRPr="00C411F0">
        <w:rPr>
          <w:b/>
          <w:bCs/>
          <w:i/>
          <w:color w:val="000000" w:themeColor="text1"/>
          <w:highlight w:val="white"/>
          <w:lang w:val="vi-VN"/>
        </w:rPr>
        <w:t xml:space="preserve"> Đối với Nhà nước: </w:t>
      </w:r>
    </w:p>
    <w:p w14:paraId="0FB1ED47" w14:textId="77777777" w:rsidR="0024233A" w:rsidRPr="00C411F0"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i/>
          <w:iCs/>
          <w:color w:val="000000" w:themeColor="text1"/>
          <w:sz w:val="28"/>
          <w:szCs w:val="28"/>
          <w:lang w:val="vi-VN"/>
        </w:rPr>
        <w:t>Tác</w:t>
      </w:r>
      <w:r w:rsidRPr="00C411F0">
        <w:rPr>
          <w:bCs/>
          <w:i/>
          <w:iCs/>
          <w:color w:val="000000" w:themeColor="text1"/>
          <w:sz w:val="28"/>
          <w:szCs w:val="28"/>
          <w:lang w:val="vi-VN"/>
        </w:rPr>
        <w:t xml:space="preserve"> động tích cực:</w:t>
      </w:r>
      <w:r w:rsidRPr="00C411F0">
        <w:rPr>
          <w:bCs/>
          <w:color w:val="000000" w:themeColor="text1"/>
          <w:sz w:val="28"/>
          <w:szCs w:val="28"/>
          <w:lang w:val="vi-VN"/>
        </w:rPr>
        <w:t xml:space="preserve"> </w:t>
      </w:r>
      <w:r w:rsidRPr="009605FD">
        <w:rPr>
          <w:bCs/>
          <w:color w:val="000000" w:themeColor="text1"/>
          <w:sz w:val="28"/>
          <w:szCs w:val="28"/>
          <w:lang w:val="vi-VN"/>
        </w:rPr>
        <w:t xml:space="preserve">Phương án đề xuất không gây tác động tiêu cực </w:t>
      </w:r>
      <w:r w:rsidRPr="00C411F0">
        <w:rPr>
          <w:bCs/>
          <w:color w:val="000000" w:themeColor="text1"/>
          <w:sz w:val="28"/>
          <w:szCs w:val="28"/>
          <w:lang w:val="vi-VN"/>
        </w:rPr>
        <w:t xml:space="preserve">mà tạo ra các tác động tích cực cho Nhà nước về mặt xã hội, cụ thể: </w:t>
      </w:r>
    </w:p>
    <w:p w14:paraId="37E87B22" w14:textId="77777777" w:rsidR="0024233A" w:rsidRPr="00C411F0"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Cùng với việc bảo đảm về hành lang pháp lý và tạo sự thuận lợi trong việc triển khai cấp tín dụng xanh, trái phiếu xanh, uy tín của Nhà nước Việt Nam sẽ được nâng lên đối với các nhà đầu tư trong nước và quốc tế. </w:t>
      </w:r>
    </w:p>
    <w:p w14:paraId="6CC8A5FC" w14:textId="062CEF82" w:rsidR="0024233A" w:rsidRPr="00C411F0"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xml:space="preserve">+ Danh mục </w:t>
      </w:r>
      <w:r w:rsidR="00FC3D00" w:rsidRPr="00C411F0">
        <w:rPr>
          <w:bCs/>
          <w:color w:val="000000" w:themeColor="text1"/>
          <w:sz w:val="28"/>
          <w:szCs w:val="28"/>
          <w:lang w:val="vi-VN"/>
        </w:rPr>
        <w:t>phân loại</w:t>
      </w:r>
      <w:r w:rsidRPr="00C411F0">
        <w:rPr>
          <w:bCs/>
          <w:color w:val="000000" w:themeColor="text1"/>
          <w:sz w:val="28"/>
          <w:szCs w:val="28"/>
          <w:lang w:val="vi-VN"/>
        </w:rPr>
        <w:t xml:space="preserve"> xanh (với các tiêu, điều kiện sàng lọc cụ thể) được xây dựng trên cơ sở học hỏi, tiệm cận các kinh nghiệm, thông lệ quốc tế sẽ từng bước nâng cao khả năng cạnh tranh của Việt Nam trong việc thu hút các nhà đầu tư quốc tế tham gia vào các hoạt động vốn xanh ở Việt Nam, </w:t>
      </w:r>
      <w:r w:rsidRPr="009605FD">
        <w:rPr>
          <w:bCs/>
          <w:color w:val="000000" w:themeColor="text1"/>
          <w:sz w:val="28"/>
          <w:szCs w:val="28"/>
          <w:lang w:val="vi-VN"/>
        </w:rPr>
        <w:t>đảm bảo thị trường trái phiếu xanh</w:t>
      </w:r>
      <w:r w:rsidRPr="00C411F0">
        <w:rPr>
          <w:bCs/>
          <w:color w:val="000000" w:themeColor="text1"/>
          <w:sz w:val="28"/>
          <w:szCs w:val="28"/>
          <w:lang w:val="vi-VN"/>
        </w:rPr>
        <w:t>, tín dụng xanh</w:t>
      </w:r>
      <w:r w:rsidRPr="009605FD">
        <w:rPr>
          <w:bCs/>
          <w:color w:val="000000" w:themeColor="text1"/>
          <w:sz w:val="28"/>
          <w:szCs w:val="28"/>
          <w:lang w:val="vi-VN"/>
        </w:rPr>
        <w:t xml:space="preserve"> Việt Nam đáng tin cậy trong dài hạn</w:t>
      </w:r>
      <w:r w:rsidRPr="00C411F0">
        <w:rPr>
          <w:bCs/>
          <w:color w:val="000000" w:themeColor="text1"/>
          <w:sz w:val="28"/>
          <w:szCs w:val="28"/>
          <w:lang w:val="vi-VN"/>
        </w:rPr>
        <w:t xml:space="preserve"> và đồng thời tạo sự hoà nhập với các hoạt động, chương trình tài chính xanh trong khu vực và trên thế giới như trái phiếu xanh ASEAN.</w:t>
      </w:r>
    </w:p>
    <w:p w14:paraId="68949E32" w14:textId="6676A56E" w:rsidR="0024233A" w:rsidRDefault="0024233A" w:rsidP="00BF4482">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C411F0">
        <w:rPr>
          <w:bCs/>
          <w:color w:val="000000" w:themeColor="text1"/>
          <w:sz w:val="28"/>
          <w:szCs w:val="28"/>
          <w:lang w:val="vi-VN"/>
        </w:rPr>
        <w:t>+ Phương án này sẽ góp phần thúc đẩy các hoạt động tín dụng xanh, trái phiếu xanh, tăng cường nguồn vốn cho các hoạt động BVMT và từ đó giúp Nhà nước bảo đảm thực hiện được các mục tiêu về môi trường, tăng trưởng xanh và phát triển bền vững; bảo đảm uy tín đối với người dân và xã hội.</w:t>
      </w:r>
    </w:p>
    <w:p w14:paraId="70B56046" w14:textId="5DB07EAD" w:rsidR="00E41BC7" w:rsidRPr="00A41810" w:rsidRDefault="00E41BC7" w:rsidP="00BF4482">
      <w:pPr>
        <w:pStyle w:val="NormalWeb"/>
        <w:widowControl w:val="0"/>
        <w:shd w:val="clear" w:color="auto" w:fill="FFFFFF"/>
        <w:spacing w:before="120" w:beforeAutospacing="0" w:after="0" w:afterAutospacing="0" w:line="340" w:lineRule="exact"/>
        <w:ind w:firstLine="720"/>
        <w:rPr>
          <w:bCs/>
          <w:color w:val="000000" w:themeColor="text1"/>
          <w:spacing w:val="-2"/>
          <w:sz w:val="28"/>
          <w:szCs w:val="28"/>
          <w:lang w:val="vi-VN"/>
        </w:rPr>
      </w:pPr>
      <w:r w:rsidRPr="00A41810">
        <w:rPr>
          <w:bCs/>
          <w:color w:val="000000" w:themeColor="text1"/>
          <w:spacing w:val="-2"/>
          <w:sz w:val="28"/>
          <w:szCs w:val="28"/>
          <w:lang w:val="vi-VN"/>
        </w:rPr>
        <w:t xml:space="preserve">+ Phương án cũng đã thể chế hoá chủ trương của Đảng trong việc tăng cường khuyến khích, thúc đẩy </w:t>
      </w:r>
      <w:r w:rsidR="00E20728">
        <w:rPr>
          <w:bCs/>
          <w:color w:val="000000" w:themeColor="text1"/>
          <w:spacing w:val="-2"/>
          <w:sz w:val="28"/>
          <w:szCs w:val="28"/>
          <w:lang w:val="vi-VN"/>
        </w:rPr>
        <w:t>các dự án nâu (</w:t>
      </w:r>
      <w:r w:rsidR="00E20728" w:rsidRPr="00A41810">
        <w:rPr>
          <w:bCs/>
          <w:color w:val="000000" w:themeColor="text1"/>
          <w:spacing w:val="-2"/>
          <w:sz w:val="28"/>
          <w:szCs w:val="28"/>
          <w:lang w:val="vi-VN"/>
        </w:rPr>
        <w:t>có phát thải khí nhà kính lớn</w:t>
      </w:r>
      <w:r w:rsidR="00E20728">
        <w:rPr>
          <w:bCs/>
          <w:color w:val="000000" w:themeColor="text1"/>
          <w:spacing w:val="-2"/>
          <w:sz w:val="28"/>
          <w:szCs w:val="28"/>
          <w:lang w:val="vi-VN"/>
        </w:rPr>
        <w:t xml:space="preserve"> như </w:t>
      </w:r>
      <w:r w:rsidR="00E20728" w:rsidRPr="00097886">
        <w:rPr>
          <w:bCs/>
          <w:color w:val="000000" w:themeColor="text1"/>
          <w:spacing w:val="-2"/>
          <w:sz w:val="28"/>
          <w:szCs w:val="28"/>
          <w:lang w:val="vi-VN"/>
        </w:rPr>
        <w:t>sản xuất xi măng, sắt, thép; sản xuất nhiệt, điện từ nhiên liệu khí</w:t>
      </w:r>
      <w:r w:rsidR="00E20728">
        <w:rPr>
          <w:bCs/>
          <w:color w:val="000000" w:themeColor="text1"/>
          <w:spacing w:val="-2"/>
          <w:sz w:val="28"/>
          <w:szCs w:val="28"/>
          <w:lang w:val="vi-VN"/>
        </w:rPr>
        <w:t>…)</w:t>
      </w:r>
      <w:r w:rsidR="00E20728" w:rsidRPr="00A41810">
        <w:rPr>
          <w:bCs/>
          <w:color w:val="000000" w:themeColor="text1"/>
          <w:spacing w:val="-2"/>
          <w:sz w:val="28"/>
          <w:szCs w:val="28"/>
          <w:lang w:val="vi-VN"/>
        </w:rPr>
        <w:t xml:space="preserve"> </w:t>
      </w:r>
      <w:r w:rsidR="00E20728">
        <w:rPr>
          <w:bCs/>
          <w:color w:val="000000" w:themeColor="text1"/>
          <w:spacing w:val="-2"/>
          <w:sz w:val="28"/>
          <w:szCs w:val="28"/>
          <w:lang w:val="vi-VN"/>
        </w:rPr>
        <w:t xml:space="preserve">thực hiện </w:t>
      </w:r>
      <w:r w:rsidR="00E20728" w:rsidRPr="00A41810">
        <w:rPr>
          <w:bCs/>
          <w:color w:val="000000" w:themeColor="text1"/>
          <w:spacing w:val="-2"/>
          <w:sz w:val="28"/>
          <w:szCs w:val="28"/>
          <w:lang w:val="vi-VN"/>
        </w:rPr>
        <w:t xml:space="preserve">việc chuyển đổi công nghệ, kỹ thuật, quy trình hoặc các yếu tố liên quan để </w:t>
      </w:r>
      <w:r w:rsidR="00E20728">
        <w:rPr>
          <w:bCs/>
          <w:color w:val="000000" w:themeColor="text1"/>
          <w:spacing w:val="-2"/>
          <w:sz w:val="28"/>
          <w:szCs w:val="28"/>
          <w:lang w:val="vi-VN"/>
        </w:rPr>
        <w:t>chuyển sanh xanh</w:t>
      </w:r>
      <w:r w:rsidRPr="00A41810">
        <w:rPr>
          <w:bCs/>
          <w:color w:val="000000" w:themeColor="text1"/>
          <w:spacing w:val="-2"/>
          <w:sz w:val="28"/>
          <w:szCs w:val="28"/>
          <w:lang w:val="vi-VN"/>
        </w:rPr>
        <w:t xml:space="preserve">; tạo cơ hội cho các chủ dự án của các loại hình dự án này nhận diện, hiểu rõ hơn trách nhiệm </w:t>
      </w:r>
      <w:r w:rsidR="00E20728">
        <w:rPr>
          <w:bCs/>
          <w:color w:val="000000" w:themeColor="text1"/>
          <w:spacing w:val="-2"/>
          <w:sz w:val="28"/>
          <w:szCs w:val="28"/>
          <w:lang w:val="vi-VN"/>
        </w:rPr>
        <w:t xml:space="preserve">và quyền lợi </w:t>
      </w:r>
      <w:r w:rsidRPr="00A41810">
        <w:rPr>
          <w:bCs/>
          <w:color w:val="000000" w:themeColor="text1"/>
          <w:spacing w:val="-2"/>
          <w:sz w:val="28"/>
          <w:szCs w:val="28"/>
          <w:lang w:val="vi-VN"/>
        </w:rPr>
        <w:t>của mình. Thông qua đó, tạo sự gắn kết thiết thực giữa chủ trương của Đảng và việc thực hiện của người dân; tăng uy tín của Nhà nước trong hệ thống chính trị và xã hội.</w:t>
      </w:r>
    </w:p>
    <w:p w14:paraId="2885C280" w14:textId="3E1577B2" w:rsidR="0024233A" w:rsidRPr="00C411F0" w:rsidRDefault="00FC3D00" w:rsidP="00BF4482">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w:t>
      </w:r>
      <w:r w:rsidR="0024233A" w:rsidRPr="00C411F0">
        <w:rPr>
          <w:b/>
          <w:bCs/>
          <w:i/>
          <w:color w:val="000000" w:themeColor="text1"/>
          <w:highlight w:val="white"/>
          <w:lang w:val="vi-VN"/>
        </w:rPr>
        <w:t xml:space="preserve"> Đối với doanh nghiệp:</w:t>
      </w:r>
    </w:p>
    <w:p w14:paraId="2E837647" w14:textId="11228231" w:rsidR="0024233A" w:rsidRPr="00C411F0" w:rsidRDefault="00FC3D00" w:rsidP="00BF4482">
      <w:pPr>
        <w:widowControl w:val="0"/>
        <w:spacing w:before="120" w:line="340" w:lineRule="exact"/>
        <w:ind w:firstLine="720"/>
        <w:jc w:val="both"/>
        <w:rPr>
          <w:i/>
          <w:color w:val="000000" w:themeColor="text1"/>
          <w:highlight w:val="white"/>
          <w:lang w:val="vi-VN"/>
        </w:rPr>
      </w:pPr>
      <w:r w:rsidRPr="00C411F0">
        <w:rPr>
          <w:bCs/>
          <w:i/>
          <w:iCs/>
          <w:color w:val="000000" w:themeColor="text1"/>
          <w:lang w:val="vi-VN"/>
        </w:rPr>
        <w:t xml:space="preserve">- </w:t>
      </w:r>
      <w:r w:rsidR="0024233A" w:rsidRPr="00C411F0">
        <w:rPr>
          <w:bCs/>
          <w:i/>
          <w:iCs/>
          <w:color w:val="000000" w:themeColor="text1"/>
          <w:lang w:val="vi-VN"/>
        </w:rPr>
        <w:t>Tác động tích cực:</w:t>
      </w:r>
      <w:r w:rsidR="0024233A" w:rsidRPr="00C411F0">
        <w:rPr>
          <w:bCs/>
          <w:color w:val="000000" w:themeColor="text1"/>
          <w:lang w:val="vi-VN"/>
        </w:rPr>
        <w:t xml:space="preserve"> Phương án không gây ra tác động tiêu cực về mặt xã hội cho các doanh nghiệp (TCTD, chủ thể phát hành trái phiếu, chủ dự án, các nhà đầu tư) mà dự kiến mang lại các hiệu quả tích cực, cụ thể:</w:t>
      </w:r>
    </w:p>
    <w:p w14:paraId="045D4A1A" w14:textId="77777777"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w:t>
      </w:r>
      <w:r w:rsidRPr="009605FD">
        <w:rPr>
          <w:bCs/>
          <w:color w:val="000000" w:themeColor="text1"/>
          <w:lang w:val="vi-VN"/>
        </w:rPr>
        <w:t xml:space="preserve"> Đối với các TCTD</w:t>
      </w:r>
      <w:r w:rsidRPr="00C411F0">
        <w:rPr>
          <w:bCs/>
          <w:color w:val="000000" w:themeColor="text1"/>
          <w:lang w:val="vi-VN"/>
        </w:rPr>
        <w:t>, chủ thể phát hành trái phiếu</w:t>
      </w:r>
      <w:r w:rsidRPr="009605FD">
        <w:rPr>
          <w:bCs/>
          <w:color w:val="000000" w:themeColor="text1"/>
          <w:lang w:val="vi-VN"/>
        </w:rPr>
        <w:t>: Trên</w:t>
      </w:r>
      <w:r w:rsidRPr="00C411F0">
        <w:rPr>
          <w:bCs/>
          <w:color w:val="000000" w:themeColor="text1"/>
          <w:lang w:val="vi-VN"/>
        </w:rPr>
        <w:t xml:space="preserve"> thực tế, việc chỉ có các văn bản hướng dẫn, định hướng chung mà chưa có</w:t>
      </w:r>
      <w:r w:rsidRPr="00C411F0">
        <w:rPr>
          <w:color w:val="000000" w:themeColor="text1"/>
          <w:lang w:val="pt-PT"/>
        </w:rPr>
        <w:t xml:space="preserve"> các quy định mang tính bắt buộc, rõ</w:t>
      </w:r>
      <w:r w:rsidRPr="00C411F0">
        <w:rPr>
          <w:color w:val="000000" w:themeColor="text1"/>
          <w:lang w:val="vi-VN"/>
        </w:rPr>
        <w:t xml:space="preserve"> ràng </w:t>
      </w:r>
      <w:r w:rsidRPr="00C411F0">
        <w:rPr>
          <w:color w:val="000000" w:themeColor="text1"/>
          <w:lang w:val="pt-PT"/>
        </w:rPr>
        <w:t>dẫn đến việc triển khai khác nhau giữa các ngân hàng</w:t>
      </w:r>
      <w:r w:rsidRPr="00C411F0">
        <w:rPr>
          <w:color w:val="000000" w:themeColor="text1"/>
          <w:lang w:val="vi-VN"/>
        </w:rPr>
        <w:t xml:space="preserve">. </w:t>
      </w:r>
      <w:r w:rsidRPr="00C411F0">
        <w:rPr>
          <w:color w:val="000000" w:themeColor="text1"/>
          <w:lang w:val="cs-CZ"/>
        </w:rPr>
        <w:t>Các TCTD không thực hiện hoặc thực hiện nhưng không nghiêm túc sẽ đưa ra ít điều kiện hơn đối với khách hàng, dẫn đến khó khăn</w:t>
      </w:r>
      <w:r w:rsidRPr="00C411F0">
        <w:rPr>
          <w:color w:val="000000" w:themeColor="text1"/>
          <w:lang w:val="vi-VN"/>
        </w:rPr>
        <w:t xml:space="preserve"> cũng như không công bằng</w:t>
      </w:r>
      <w:r w:rsidRPr="00C411F0">
        <w:rPr>
          <w:color w:val="000000" w:themeColor="text1"/>
          <w:lang w:val="cs-CZ"/>
        </w:rPr>
        <w:t xml:space="preserve"> cho các </w:t>
      </w:r>
      <w:r w:rsidRPr="00C411F0">
        <w:rPr>
          <w:color w:val="000000" w:themeColor="text1"/>
          <w:lang w:val="cs-CZ"/>
        </w:rPr>
        <w:lastRenderedPageBreak/>
        <w:t>TCTD thực hiện nghiêm túc</w:t>
      </w:r>
      <w:r w:rsidRPr="00C411F0">
        <w:rPr>
          <w:rStyle w:val="FootnoteReference"/>
          <w:color w:val="000000" w:themeColor="text1"/>
          <w:lang w:val="cs-CZ"/>
        </w:rPr>
        <w:footnoteReference w:id="17"/>
      </w:r>
      <w:r w:rsidRPr="00C411F0">
        <w:rPr>
          <w:color w:val="000000" w:themeColor="text1"/>
          <w:lang w:val="cs-CZ"/>
        </w:rPr>
        <w:t>.</w:t>
      </w:r>
      <w:r w:rsidRPr="00C411F0">
        <w:rPr>
          <w:color w:val="000000" w:themeColor="text1"/>
          <w:lang w:val="vi-VN"/>
        </w:rPr>
        <w:t xml:space="preserve"> </w:t>
      </w:r>
      <w:r w:rsidRPr="00C411F0">
        <w:rPr>
          <w:color w:val="000000" w:themeColor="text1"/>
          <w:lang w:val="cs-CZ"/>
        </w:rPr>
        <w:t>Do</w:t>
      </w:r>
      <w:r w:rsidRPr="00C411F0">
        <w:rPr>
          <w:color w:val="000000" w:themeColor="text1"/>
          <w:lang w:val="vi-VN"/>
        </w:rPr>
        <w:t xml:space="preserve"> đó, việc ban hành các quy định </w:t>
      </w:r>
      <w:r w:rsidRPr="00C411F0">
        <w:rPr>
          <w:bCs/>
          <w:color w:val="000000" w:themeColor="text1"/>
          <w:lang w:val="vi-VN"/>
        </w:rPr>
        <w:t xml:space="preserve">pháp luật rõ ràng về Dự án xanh và Danh mục dự án xanh ngoài việc giúp cho hoạt động cấp tín dụng xanh được thuận lợi, cũng có ý nghĩa minh bạch, bảo đảm </w:t>
      </w:r>
      <w:r w:rsidRPr="00C411F0">
        <w:rPr>
          <w:color w:val="000000" w:themeColor="text1"/>
          <w:lang w:val="cs-CZ"/>
        </w:rPr>
        <w:t>tính công bằng trong chính sách cạnh tranh liên quan</w:t>
      </w:r>
      <w:r w:rsidRPr="00C411F0">
        <w:rPr>
          <w:color w:val="000000" w:themeColor="text1"/>
          <w:lang w:val="vi-VN"/>
        </w:rPr>
        <w:t xml:space="preserve"> đến </w:t>
      </w:r>
      <w:r w:rsidRPr="00C411F0">
        <w:rPr>
          <w:bCs/>
          <w:color w:val="000000" w:themeColor="text1"/>
          <w:lang w:val="vi-VN"/>
        </w:rPr>
        <w:t xml:space="preserve">tín dụng xanh của các TCTD. </w:t>
      </w:r>
    </w:p>
    <w:p w14:paraId="09F085CA" w14:textId="77777777"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 xml:space="preserve">+ Đối với các chủ dự án và các nhà đầu tư (bao gồm các nhà tài trợ uỷ thác, cấp vốn xanh lẫn các tổ chức đầu tư mua trái phiếu xanh): gia tăng sự sẵn lòng lựa chọn, tích cực tham gia vào các dự án xanh và các hoạt động cấp vốn tín dụng hoặc đầu tư trái phiếu xanh.. </w:t>
      </w:r>
    </w:p>
    <w:p w14:paraId="6B494EA7" w14:textId="77777777"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Nhìn chung, phương án này nâng cao trách nhiệm xã hội và sự tham gia xã hội hoá các hoạt động về BVMT của các doanh nghiệp.</w:t>
      </w:r>
    </w:p>
    <w:p w14:paraId="765B4650" w14:textId="10FC1EBC" w:rsidR="0024233A" w:rsidRPr="00C411F0" w:rsidRDefault="00FC3D00" w:rsidP="00BF4482">
      <w:pPr>
        <w:widowControl w:val="0"/>
        <w:spacing w:before="120" w:line="340" w:lineRule="exact"/>
        <w:ind w:firstLine="720"/>
        <w:jc w:val="both"/>
        <w:rPr>
          <w:b/>
          <w:i/>
          <w:iCs/>
          <w:color w:val="000000" w:themeColor="text1"/>
          <w:lang w:val="vi-VN"/>
        </w:rPr>
      </w:pPr>
      <w:r w:rsidRPr="00C411F0">
        <w:rPr>
          <w:b/>
          <w:i/>
          <w:iCs/>
          <w:color w:val="000000" w:themeColor="text1"/>
          <w:lang w:val="vi-VN"/>
        </w:rPr>
        <w:t xml:space="preserve">* </w:t>
      </w:r>
      <w:r w:rsidR="0024233A" w:rsidRPr="009605FD">
        <w:rPr>
          <w:b/>
          <w:i/>
          <w:iCs/>
          <w:color w:val="000000" w:themeColor="text1"/>
          <w:lang w:val="vi-VN"/>
        </w:rPr>
        <w:t xml:space="preserve">Đối với môi trường: </w:t>
      </w:r>
    </w:p>
    <w:p w14:paraId="26A56FC3" w14:textId="05F0D2BC" w:rsidR="0024233A" w:rsidRPr="00C411F0" w:rsidRDefault="0024233A" w:rsidP="00BF4482">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Với</w:t>
      </w:r>
      <w:r w:rsidRPr="00C411F0">
        <w:rPr>
          <w:bCs/>
          <w:color w:val="000000" w:themeColor="text1"/>
          <w:sz w:val="28"/>
          <w:szCs w:val="28"/>
          <w:lang w:val="vi-VN"/>
        </w:rPr>
        <w:t xml:space="preserve"> Phương án đề xuất, trong Danh mục </w:t>
      </w:r>
      <w:r w:rsidR="008D3DDD" w:rsidRPr="00C411F0">
        <w:rPr>
          <w:bCs/>
          <w:color w:val="000000" w:themeColor="text1"/>
          <w:sz w:val="28"/>
          <w:szCs w:val="28"/>
          <w:lang w:val="vi-VN"/>
        </w:rPr>
        <w:t xml:space="preserve">phân loại </w:t>
      </w:r>
      <w:r w:rsidRPr="00C411F0">
        <w:rPr>
          <w:bCs/>
          <w:color w:val="000000" w:themeColor="text1"/>
          <w:sz w:val="28"/>
          <w:szCs w:val="28"/>
          <w:lang w:val="vi-VN"/>
        </w:rPr>
        <w:t>xanh sẽ có một số loại hình</w:t>
      </w:r>
      <w:r w:rsidR="00FE4EEC">
        <w:rPr>
          <w:bCs/>
          <w:color w:val="000000" w:themeColor="text1"/>
          <w:sz w:val="28"/>
          <w:szCs w:val="28"/>
          <w:lang w:val="vi-VN"/>
        </w:rPr>
        <w:t xml:space="preserve"> </w:t>
      </w:r>
      <w:r w:rsidRPr="00C411F0">
        <w:rPr>
          <w:bCs/>
          <w:color w:val="000000" w:themeColor="text1"/>
          <w:sz w:val="28"/>
          <w:szCs w:val="28"/>
          <w:lang w:val="vi-VN"/>
        </w:rPr>
        <w:t xml:space="preserve">dự án đầu tư được mở rộng so với các hướng dẫn hiện nay; đồng thời các tiêu chí sàng lọc, điều kiện loại trừ (điều kiện không gây hại đến môi trường) được quy định rõ ràng, cụ thể, </w:t>
      </w:r>
      <w:r w:rsidR="00E20728">
        <w:rPr>
          <w:bCs/>
          <w:color w:val="000000" w:themeColor="text1"/>
          <w:sz w:val="28"/>
          <w:szCs w:val="28"/>
          <w:lang w:val="vi-VN"/>
        </w:rPr>
        <w:t xml:space="preserve">đặc biệt chi tiết đối với các loại hình dự án đầu tư chuyển đổi xanh, </w:t>
      </w:r>
      <w:r w:rsidRPr="00C411F0">
        <w:rPr>
          <w:bCs/>
          <w:color w:val="000000" w:themeColor="text1"/>
          <w:sz w:val="28"/>
          <w:szCs w:val="28"/>
          <w:lang w:val="vi-VN"/>
        </w:rPr>
        <w:t>bảo đảm việc xác định, sử dụng nguồn vốn xanh đúng đối tượng, đúng mục đích, giảm thiểu, loại trừ được việc huy động, sử dụng nguồn vốn vào các dự án vẫn tiềm ẩn các yếu tố gây hại môi trường. Do đó, phương án có tác động tích cực đến môi trường.</w:t>
      </w:r>
    </w:p>
    <w:p w14:paraId="33BD59B1" w14:textId="7AEC035C" w:rsidR="0024233A" w:rsidRPr="00C411F0" w:rsidRDefault="008D3DDD" w:rsidP="007054F5">
      <w:pPr>
        <w:widowControl w:val="0"/>
        <w:spacing w:before="120" w:line="340" w:lineRule="exact"/>
        <w:ind w:firstLine="720"/>
        <w:jc w:val="both"/>
        <w:rPr>
          <w:b/>
          <w:i/>
          <w:iCs/>
          <w:color w:val="000000" w:themeColor="text1"/>
          <w:lang w:val="vi-VN"/>
        </w:rPr>
      </w:pPr>
      <w:r w:rsidRPr="00C411F0">
        <w:rPr>
          <w:b/>
          <w:i/>
          <w:iCs/>
          <w:color w:val="000000" w:themeColor="text1"/>
          <w:lang w:val="vi-VN"/>
        </w:rPr>
        <w:t xml:space="preserve">* </w:t>
      </w:r>
      <w:r w:rsidR="0024233A" w:rsidRPr="00C411F0">
        <w:rPr>
          <w:b/>
          <w:i/>
          <w:iCs/>
          <w:color w:val="000000" w:themeColor="text1"/>
          <w:lang w:val="vi-VN"/>
        </w:rPr>
        <w:t xml:space="preserve">Đối với người dân: </w:t>
      </w:r>
    </w:p>
    <w:p w14:paraId="0226AA94" w14:textId="77777777" w:rsidR="0024233A" w:rsidRPr="009605FD"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Mức độ hưởng lợi của người dân, xã hội là rõ nét khi</w:t>
      </w:r>
      <w:r w:rsidRPr="00C411F0">
        <w:rPr>
          <w:bCs/>
          <w:color w:val="000000" w:themeColor="text1"/>
          <w:sz w:val="28"/>
          <w:szCs w:val="28"/>
          <w:lang w:val="vi-VN"/>
        </w:rPr>
        <w:t xml:space="preserve"> </w:t>
      </w:r>
      <w:r w:rsidRPr="009605FD">
        <w:rPr>
          <w:bCs/>
          <w:color w:val="000000" w:themeColor="text1"/>
          <w:sz w:val="28"/>
          <w:szCs w:val="28"/>
          <w:lang w:val="vi-VN"/>
        </w:rPr>
        <w:t xml:space="preserve">chất lượng môi trường sống được cải thiện thông qua việc tăng cường các dự án xanh và kiểm soát ô nhiễm, BVMT thông qua hoạt động cấp vốn đối với dự án. </w:t>
      </w:r>
    </w:p>
    <w:p w14:paraId="206AA9FD" w14:textId="68F83654" w:rsidR="0024233A" w:rsidRDefault="0024233A" w:rsidP="007054F5">
      <w:pPr>
        <w:pStyle w:val="NormalWeb"/>
        <w:widowControl w:val="0"/>
        <w:shd w:val="clear" w:color="auto" w:fill="FFFFFF"/>
        <w:spacing w:before="120" w:beforeAutospacing="0" w:after="0" w:afterAutospacing="0" w:line="340" w:lineRule="exact"/>
        <w:ind w:firstLine="720"/>
        <w:rPr>
          <w:bCs/>
          <w:color w:val="000000" w:themeColor="text1"/>
          <w:sz w:val="28"/>
          <w:szCs w:val="28"/>
          <w:lang w:val="vi-VN"/>
        </w:rPr>
      </w:pPr>
      <w:r w:rsidRPr="009605FD">
        <w:rPr>
          <w:bCs/>
          <w:color w:val="000000" w:themeColor="text1"/>
          <w:sz w:val="28"/>
          <w:szCs w:val="28"/>
          <w:lang w:val="vi-VN"/>
        </w:rPr>
        <w:t>Sự gắn kết giữa các bên liên quan (cơ</w:t>
      </w:r>
      <w:r w:rsidRPr="00C411F0">
        <w:rPr>
          <w:bCs/>
          <w:color w:val="000000" w:themeColor="text1"/>
          <w:sz w:val="28"/>
          <w:szCs w:val="28"/>
          <w:lang w:val="vi-VN"/>
        </w:rPr>
        <w:t xml:space="preserve"> quan nhà nước, </w:t>
      </w:r>
      <w:r w:rsidRPr="009605FD">
        <w:rPr>
          <w:bCs/>
          <w:color w:val="000000" w:themeColor="text1"/>
          <w:sz w:val="28"/>
          <w:szCs w:val="28"/>
          <w:lang w:val="vi-VN"/>
        </w:rPr>
        <w:t>cộng đồng dân cư, chủ dự án, tổ chức tín dụng, tổ chức phát hành trái phiếu xanh</w:t>
      </w:r>
      <w:r w:rsidRPr="00C411F0">
        <w:rPr>
          <w:bCs/>
          <w:color w:val="000000" w:themeColor="text1"/>
          <w:sz w:val="28"/>
          <w:szCs w:val="28"/>
          <w:lang w:val="vi-VN"/>
        </w:rPr>
        <w:t>, nhà đầu tư…</w:t>
      </w:r>
      <w:r w:rsidRPr="009605FD">
        <w:rPr>
          <w:bCs/>
          <w:color w:val="000000" w:themeColor="text1"/>
          <w:sz w:val="28"/>
          <w:szCs w:val="28"/>
          <w:lang w:val="vi-VN"/>
        </w:rPr>
        <w:t>) cũng được tăng cường khi người dân được tham gia trực tiếp, gián tiếp vào các dự án xanh; tham gia phản biện, tham vấn, giám sát tác động và hiệu quả môi trường của dự án để phản hồi vào đánh giá của tổ chức tín dụng</w:t>
      </w:r>
      <w:r w:rsidRPr="00C411F0">
        <w:rPr>
          <w:bCs/>
          <w:color w:val="000000" w:themeColor="text1"/>
          <w:sz w:val="28"/>
          <w:szCs w:val="28"/>
          <w:lang w:val="vi-VN"/>
        </w:rPr>
        <w:t xml:space="preserve">; </w:t>
      </w:r>
      <w:r w:rsidRPr="009605FD">
        <w:rPr>
          <w:bCs/>
          <w:color w:val="000000" w:themeColor="text1"/>
          <w:sz w:val="28"/>
          <w:szCs w:val="28"/>
          <w:lang w:val="vi-VN"/>
        </w:rPr>
        <w:t>tham gia đầu tư vào trái phiếu xanh.</w:t>
      </w:r>
    </w:p>
    <w:p w14:paraId="3708078F" w14:textId="446D91FA" w:rsidR="0024233A" w:rsidRPr="009605FD" w:rsidRDefault="009C13A1" w:rsidP="007054F5">
      <w:pPr>
        <w:widowControl w:val="0"/>
        <w:spacing w:before="120" w:line="340" w:lineRule="exact"/>
        <w:ind w:firstLine="720"/>
        <w:rPr>
          <w:b/>
          <w:bCs/>
          <w:i/>
          <w:color w:val="000000" w:themeColor="text1"/>
          <w:lang w:val="vi-VN"/>
        </w:rPr>
      </w:pPr>
      <w:r w:rsidRPr="009605FD">
        <w:rPr>
          <w:b/>
          <w:bCs/>
          <w:i/>
          <w:color w:val="000000" w:themeColor="text1"/>
          <w:lang w:val="vi-VN"/>
        </w:rPr>
        <w:t>c</w:t>
      </w:r>
      <w:r w:rsidRPr="00C411F0">
        <w:rPr>
          <w:b/>
          <w:bCs/>
          <w:i/>
          <w:color w:val="000000" w:themeColor="text1"/>
          <w:lang w:val="vi-VN"/>
        </w:rPr>
        <w:t>)</w:t>
      </w:r>
      <w:r w:rsidR="0024233A" w:rsidRPr="009605FD">
        <w:rPr>
          <w:b/>
          <w:bCs/>
          <w:i/>
          <w:color w:val="000000" w:themeColor="text1"/>
          <w:lang w:val="vi-VN"/>
        </w:rPr>
        <w:t xml:space="preserve"> Tác động về giới: </w:t>
      </w:r>
    </w:p>
    <w:p w14:paraId="4A16CFB7" w14:textId="77777777"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Danh mục các loại hình dự án xanh, các tiêu chí sàng lọc, yêu cầu điều kiện đối với dự án xanh chỉ xem xét trên khía cạnh môi trường; không phân biệt và không tạo nên sự bất bình đẳng giữa các giới trong việc tiếp cận, tham gia các hoạt động liên quan đến tín dụng xanh</w:t>
      </w:r>
      <w:r w:rsidRPr="009605FD">
        <w:rPr>
          <w:bCs/>
          <w:color w:val="000000" w:themeColor="text1"/>
          <w:lang w:val="vi-VN"/>
        </w:rPr>
        <w:t>. Tuy</w:t>
      </w:r>
      <w:r w:rsidRPr="00C411F0">
        <w:rPr>
          <w:bCs/>
          <w:color w:val="000000" w:themeColor="text1"/>
          <w:lang w:val="vi-VN"/>
        </w:rPr>
        <w:t xml:space="preserve"> nhiên, với việc mở rộng các loại hình dự án xanh và kết hợp các cơ chế chính sách xã hội khác, </w:t>
      </w:r>
      <w:r w:rsidRPr="009605FD">
        <w:rPr>
          <w:bCs/>
          <w:color w:val="000000" w:themeColor="text1"/>
          <w:lang w:val="vi-VN"/>
        </w:rPr>
        <w:t xml:space="preserve">phụ nữ sẽ có cơ hội, điều kiện và được trao nhiều quyền hơn để thực hiện các dự án xanh phù hợp. </w:t>
      </w:r>
    </w:p>
    <w:p w14:paraId="682B865B" w14:textId="156337CE" w:rsidR="0024233A" w:rsidRPr="009605FD" w:rsidRDefault="009C13A1" w:rsidP="00BF4482">
      <w:pPr>
        <w:widowControl w:val="0"/>
        <w:spacing w:before="120" w:line="340" w:lineRule="exact"/>
        <w:ind w:firstLine="720"/>
        <w:rPr>
          <w:b/>
          <w:bCs/>
          <w:i/>
          <w:color w:val="000000" w:themeColor="text1"/>
          <w:lang w:val="vi-VN"/>
        </w:rPr>
      </w:pPr>
      <w:r w:rsidRPr="009605FD">
        <w:rPr>
          <w:b/>
          <w:bCs/>
          <w:i/>
          <w:color w:val="000000" w:themeColor="text1"/>
          <w:lang w:val="vi-VN"/>
        </w:rPr>
        <w:t>d</w:t>
      </w:r>
      <w:r w:rsidRPr="00C411F0">
        <w:rPr>
          <w:b/>
          <w:bCs/>
          <w:i/>
          <w:color w:val="000000" w:themeColor="text1"/>
          <w:lang w:val="vi-VN"/>
        </w:rPr>
        <w:t>)</w:t>
      </w:r>
      <w:r w:rsidR="0024233A" w:rsidRPr="009605FD">
        <w:rPr>
          <w:b/>
          <w:bCs/>
          <w:i/>
          <w:color w:val="000000" w:themeColor="text1"/>
          <w:lang w:val="vi-VN"/>
        </w:rPr>
        <w:t xml:space="preserve"> Tác động về thủ tục hành chính: </w:t>
      </w:r>
    </w:p>
    <w:p w14:paraId="341C6D7A" w14:textId="595BF1F6" w:rsidR="00E41BC7" w:rsidRDefault="0024233A" w:rsidP="00BF4482">
      <w:pPr>
        <w:widowControl w:val="0"/>
        <w:spacing w:before="120" w:line="340" w:lineRule="exact"/>
        <w:ind w:firstLine="720"/>
        <w:jc w:val="both"/>
        <w:rPr>
          <w:b/>
          <w:bCs/>
          <w:i/>
          <w:color w:val="000000" w:themeColor="text1"/>
          <w:lang w:val="vi-VN"/>
        </w:rPr>
      </w:pPr>
      <w:r w:rsidRPr="009605FD">
        <w:rPr>
          <w:bCs/>
          <w:color w:val="000000" w:themeColor="text1"/>
          <w:lang w:val="vi-VN"/>
        </w:rPr>
        <w:lastRenderedPageBreak/>
        <w:t>Phương án chỉ</w:t>
      </w:r>
      <w:r w:rsidRPr="00C411F0">
        <w:rPr>
          <w:bCs/>
          <w:color w:val="000000" w:themeColor="text1"/>
          <w:lang w:val="vi-VN"/>
        </w:rPr>
        <w:t xml:space="preserve"> quy định về </w:t>
      </w:r>
      <w:r w:rsidR="008D3DDD" w:rsidRPr="00C411F0">
        <w:rPr>
          <w:bCs/>
          <w:color w:val="000000" w:themeColor="text1"/>
          <w:lang w:val="vi-VN"/>
        </w:rPr>
        <w:t xml:space="preserve">tiêu chí môi trường </w:t>
      </w:r>
      <w:r w:rsidRPr="00C411F0">
        <w:rPr>
          <w:bCs/>
          <w:color w:val="000000" w:themeColor="text1"/>
          <w:lang w:val="vi-VN"/>
        </w:rPr>
        <w:t xml:space="preserve">và danh mục </w:t>
      </w:r>
      <w:r w:rsidR="008D3DDD" w:rsidRPr="00C411F0">
        <w:rPr>
          <w:bCs/>
          <w:color w:val="000000" w:themeColor="text1"/>
          <w:lang w:val="vi-VN"/>
        </w:rPr>
        <w:t xml:space="preserve">phân loại </w:t>
      </w:r>
      <w:r w:rsidRPr="00C411F0">
        <w:rPr>
          <w:bCs/>
          <w:color w:val="000000" w:themeColor="text1"/>
          <w:lang w:val="vi-VN"/>
        </w:rPr>
        <w:t>xanh (bao gồm loại hình dự án và các tiêu chí sàng lọc, điều kiện đối với dự án xanh)</w:t>
      </w:r>
      <w:r w:rsidR="008D3DDD" w:rsidRPr="00C411F0">
        <w:rPr>
          <w:bCs/>
          <w:color w:val="000000" w:themeColor="text1"/>
          <w:lang w:val="vi-VN"/>
        </w:rPr>
        <w:t xml:space="preserve"> làm cơ sở để xác định sự phù hợp (tính xanh) của dự án</w:t>
      </w:r>
      <w:r w:rsidRPr="00C411F0">
        <w:rPr>
          <w:bCs/>
          <w:color w:val="000000" w:themeColor="text1"/>
          <w:lang w:val="vi-VN"/>
        </w:rPr>
        <w:t xml:space="preserve"> trước khi cấp </w:t>
      </w:r>
      <w:r w:rsidR="008D3DDD" w:rsidRPr="00C411F0">
        <w:rPr>
          <w:bCs/>
          <w:color w:val="000000" w:themeColor="text1"/>
          <w:lang w:val="vi-VN"/>
        </w:rPr>
        <w:t xml:space="preserve">tín dụng </w:t>
      </w:r>
      <w:r w:rsidRPr="00C411F0">
        <w:rPr>
          <w:bCs/>
          <w:color w:val="000000" w:themeColor="text1"/>
          <w:lang w:val="vi-VN"/>
        </w:rPr>
        <w:t>hoặc phát hành trái phiếu</w:t>
      </w:r>
      <w:r w:rsidR="008D3DDD" w:rsidRPr="00C411F0">
        <w:rPr>
          <w:bCs/>
          <w:color w:val="000000" w:themeColor="text1"/>
          <w:lang w:val="vi-VN"/>
        </w:rPr>
        <w:t xml:space="preserve">, </w:t>
      </w:r>
      <w:r w:rsidRPr="009605FD">
        <w:rPr>
          <w:bCs/>
          <w:color w:val="000000" w:themeColor="text1"/>
          <w:lang w:val="vi-VN"/>
        </w:rPr>
        <w:t>không làm</w:t>
      </w:r>
      <w:r w:rsidRPr="00C411F0">
        <w:rPr>
          <w:bCs/>
          <w:color w:val="000000" w:themeColor="text1"/>
          <w:lang w:val="vi-VN"/>
        </w:rPr>
        <w:t xml:space="preserve"> phát sinh </w:t>
      </w:r>
      <w:r w:rsidRPr="009605FD">
        <w:rPr>
          <w:bCs/>
          <w:color w:val="000000" w:themeColor="text1"/>
          <w:lang w:val="vi-VN"/>
        </w:rPr>
        <w:t>thủ tục hành chính.</w:t>
      </w:r>
    </w:p>
    <w:p w14:paraId="4A92513B" w14:textId="2009D426" w:rsidR="0024233A" w:rsidRPr="009605FD" w:rsidRDefault="009C13A1" w:rsidP="00BF4482">
      <w:pPr>
        <w:widowControl w:val="0"/>
        <w:spacing w:before="120" w:line="340" w:lineRule="exact"/>
        <w:ind w:firstLine="720"/>
        <w:rPr>
          <w:bCs/>
          <w:color w:val="000000" w:themeColor="text1"/>
          <w:lang w:val="vi-VN"/>
        </w:rPr>
      </w:pPr>
      <w:r w:rsidRPr="009605FD">
        <w:rPr>
          <w:b/>
          <w:bCs/>
          <w:i/>
          <w:color w:val="000000" w:themeColor="text1"/>
          <w:lang w:val="vi-VN"/>
        </w:rPr>
        <w:t>đ</w:t>
      </w:r>
      <w:r w:rsidRPr="00C411F0">
        <w:rPr>
          <w:b/>
          <w:bCs/>
          <w:i/>
          <w:color w:val="000000" w:themeColor="text1"/>
          <w:lang w:val="vi-VN"/>
        </w:rPr>
        <w:t>)</w:t>
      </w:r>
      <w:r w:rsidR="0024233A" w:rsidRPr="009605FD">
        <w:rPr>
          <w:b/>
          <w:bCs/>
          <w:i/>
          <w:color w:val="000000" w:themeColor="text1"/>
          <w:lang w:val="vi-VN"/>
        </w:rPr>
        <w:t xml:space="preserve"> Tác động đối với hệ thống pháp luật:</w:t>
      </w:r>
      <w:r w:rsidR="0024233A" w:rsidRPr="009605FD">
        <w:rPr>
          <w:bCs/>
          <w:color w:val="000000" w:themeColor="text1"/>
          <w:lang w:val="vi-VN"/>
        </w:rPr>
        <w:t xml:space="preserve"> </w:t>
      </w:r>
    </w:p>
    <w:p w14:paraId="6A432D7B" w14:textId="44B8EF75"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 xml:space="preserve">Việc ban hành </w:t>
      </w:r>
      <w:r w:rsidR="008D3DDD" w:rsidRPr="00C411F0">
        <w:rPr>
          <w:bCs/>
          <w:color w:val="000000" w:themeColor="text1"/>
          <w:lang w:val="vi-VN"/>
        </w:rPr>
        <w:t xml:space="preserve">Quyết định của Thủ tướng Chính phủ </w:t>
      </w:r>
      <w:r w:rsidRPr="00C411F0">
        <w:rPr>
          <w:bCs/>
          <w:color w:val="000000" w:themeColor="text1"/>
          <w:lang w:val="vi-VN"/>
        </w:rPr>
        <w:t xml:space="preserve">quy định </w:t>
      </w:r>
      <w:r w:rsidR="008D3DDD" w:rsidRPr="00C411F0">
        <w:rPr>
          <w:bCs/>
          <w:color w:val="000000" w:themeColor="text1"/>
          <w:lang w:val="vi-VN"/>
        </w:rPr>
        <w:t>về tiêu chí môi trường để phân loại dự án được cấp tín dụng xanh, phát hành trái phiếu xanh và</w:t>
      </w:r>
      <w:r w:rsidRPr="00C411F0">
        <w:rPr>
          <w:bCs/>
          <w:color w:val="000000" w:themeColor="text1"/>
          <w:lang w:val="vi-VN"/>
        </w:rPr>
        <w:t xml:space="preserve"> Danh mục </w:t>
      </w:r>
      <w:r w:rsidR="008D3DDD" w:rsidRPr="00C411F0">
        <w:rPr>
          <w:bCs/>
          <w:color w:val="000000" w:themeColor="text1"/>
          <w:lang w:val="vi-VN"/>
        </w:rPr>
        <w:t xml:space="preserve">phân loại </w:t>
      </w:r>
      <w:r w:rsidRPr="00C411F0">
        <w:rPr>
          <w:bCs/>
          <w:color w:val="000000" w:themeColor="text1"/>
          <w:lang w:val="vi-VN"/>
        </w:rPr>
        <w:t xml:space="preserve">xanh </w:t>
      </w:r>
      <w:r w:rsidR="00BE7B36" w:rsidRPr="00C411F0">
        <w:rPr>
          <w:bCs/>
          <w:color w:val="000000" w:themeColor="text1"/>
          <w:lang w:val="vi-VN"/>
        </w:rPr>
        <w:t>thực thi Điều 154 của Nghị định số</w:t>
      </w:r>
      <w:r w:rsidR="008B7AE3" w:rsidRPr="009605FD">
        <w:rPr>
          <w:bCs/>
          <w:color w:val="000000" w:themeColor="text1"/>
          <w:lang w:val="vi-VN"/>
        </w:rPr>
        <w:t xml:space="preserve"> </w:t>
      </w:r>
      <w:r w:rsidR="00BE7B36" w:rsidRPr="00C411F0">
        <w:rPr>
          <w:bCs/>
          <w:color w:val="000000" w:themeColor="text1"/>
          <w:lang w:val="vi-VN"/>
        </w:rPr>
        <w:t xml:space="preserve">08/2022/NĐ-CP quy định chi tiết một số điều của Luật BVMT, nhằm cụ thể hoá chính sách, quy định về tín dụng xanh, trái phiếu xanh của Luật BVMT 2020, </w:t>
      </w:r>
      <w:r w:rsidRPr="00C411F0">
        <w:rPr>
          <w:bCs/>
          <w:color w:val="000000" w:themeColor="text1"/>
          <w:lang w:val="vi-VN"/>
        </w:rPr>
        <w:t xml:space="preserve">góp phần tăng </w:t>
      </w:r>
      <w:r w:rsidR="00BE7B36" w:rsidRPr="00C411F0">
        <w:rPr>
          <w:bCs/>
          <w:color w:val="000000" w:themeColor="text1"/>
          <w:lang w:val="vi-VN"/>
        </w:rPr>
        <w:t xml:space="preserve">tính </w:t>
      </w:r>
      <w:r w:rsidRPr="00C411F0">
        <w:rPr>
          <w:bCs/>
          <w:color w:val="000000" w:themeColor="text1"/>
          <w:lang w:val="vi-VN"/>
        </w:rPr>
        <w:t>hiệu lực</w:t>
      </w:r>
      <w:r w:rsidR="00BE7B36" w:rsidRPr="00C411F0">
        <w:rPr>
          <w:bCs/>
          <w:color w:val="000000" w:themeColor="text1"/>
          <w:lang w:val="vi-VN"/>
        </w:rPr>
        <w:t xml:space="preserve">, hiệu quả của </w:t>
      </w:r>
      <w:r w:rsidRPr="00C411F0">
        <w:rPr>
          <w:bCs/>
          <w:color w:val="000000" w:themeColor="text1"/>
          <w:lang w:val="vi-VN"/>
        </w:rPr>
        <w:t>Luật</w:t>
      </w:r>
      <w:r w:rsidR="00BE7B36" w:rsidRPr="00C411F0">
        <w:rPr>
          <w:bCs/>
          <w:color w:val="000000" w:themeColor="text1"/>
          <w:lang w:val="vi-VN"/>
        </w:rPr>
        <w:t xml:space="preserve"> và Nghị định</w:t>
      </w:r>
      <w:r w:rsidRPr="00C411F0">
        <w:rPr>
          <w:bCs/>
          <w:color w:val="000000" w:themeColor="text1"/>
          <w:lang w:val="vi-VN"/>
        </w:rPr>
        <w:t xml:space="preserve"> trong đời sống. Đồng thời, các quy định đề xuất không mâu thuẫn mà bảo đảm tính đồng bộ, thống nhất với các quy định pháp luật hiện hành trong lĩnh vực tài chính, tín dụng, đầu tư, thống kê; góp phần hoàn thiện hệ thống văn bản pháp luật về tín dụng xanh, trái phiếu xanh.</w:t>
      </w:r>
    </w:p>
    <w:p w14:paraId="2E34BADA" w14:textId="37A7A8B3" w:rsidR="0024233A" w:rsidRPr="00C411F0" w:rsidRDefault="0024233A" w:rsidP="00BF4482">
      <w:pPr>
        <w:widowControl w:val="0"/>
        <w:spacing w:before="120" w:line="340" w:lineRule="exact"/>
        <w:ind w:firstLine="720"/>
        <w:jc w:val="both"/>
        <w:rPr>
          <w:bCs/>
          <w:color w:val="000000" w:themeColor="text1"/>
          <w:lang w:val="vi-VN"/>
        </w:rPr>
      </w:pPr>
      <w:r w:rsidRPr="00C411F0">
        <w:rPr>
          <w:bCs/>
          <w:color w:val="000000" w:themeColor="text1"/>
          <w:lang w:val="vi-VN"/>
        </w:rPr>
        <w:t xml:space="preserve">Quyết định của Thủ tướng Chính phủ vẫn vừa bảo đảm được tính pháp lý của Danh mục </w:t>
      </w:r>
      <w:r w:rsidR="00BE7B36" w:rsidRPr="00C411F0">
        <w:rPr>
          <w:bCs/>
          <w:color w:val="000000" w:themeColor="text1"/>
          <w:lang w:val="vi-VN"/>
        </w:rPr>
        <w:t xml:space="preserve">phân loại </w:t>
      </w:r>
      <w:r w:rsidRPr="00C411F0">
        <w:rPr>
          <w:bCs/>
          <w:color w:val="000000" w:themeColor="text1"/>
          <w:lang w:val="vi-VN"/>
        </w:rPr>
        <w:t>xanh, vừa bảo đảm được tính linh hoạt khi cần điều chỉnh  để phù hợp với tình hình phát triển kinh tế - xã hội trong từng giai đoạn.</w:t>
      </w:r>
    </w:p>
    <w:p w14:paraId="51693B8D" w14:textId="7091ECD9" w:rsidR="00935303" w:rsidRPr="009605FD" w:rsidRDefault="00935303" w:rsidP="007054F5">
      <w:pPr>
        <w:widowControl w:val="0"/>
        <w:tabs>
          <w:tab w:val="right" w:leader="dot" w:pos="7920"/>
        </w:tabs>
        <w:spacing w:before="120" w:line="340" w:lineRule="exact"/>
        <w:ind w:firstLine="720"/>
        <w:jc w:val="both"/>
        <w:rPr>
          <w:color w:val="000000" w:themeColor="text1"/>
          <w:lang w:val="vi-VN"/>
        </w:rPr>
      </w:pPr>
      <w:r w:rsidRPr="009605FD">
        <w:rPr>
          <w:b/>
          <w:bCs/>
          <w:color w:val="000000" w:themeColor="text1"/>
          <w:lang w:val="vi-VN"/>
        </w:rPr>
        <w:t>1.5. Kiến nghị giải pháp lựa chọn</w:t>
      </w:r>
      <w:r w:rsidRPr="009605FD">
        <w:rPr>
          <w:color w:val="000000" w:themeColor="text1"/>
          <w:lang w:val="vi-VN"/>
        </w:rPr>
        <w:t xml:space="preserve"> </w:t>
      </w:r>
    </w:p>
    <w:p w14:paraId="2749590E" w14:textId="69832E10" w:rsidR="008C3096" w:rsidRPr="00C411F0" w:rsidRDefault="00BB21B2" w:rsidP="00BF4482">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Trên cơ sở các phân tích, đánh giá về lợi ích, chi phí của từng phương án</w:t>
      </w:r>
      <w:r w:rsidR="004B1523" w:rsidRPr="00C411F0">
        <w:rPr>
          <w:color w:val="000000" w:themeColor="text1"/>
          <w:lang w:val="vi-VN"/>
        </w:rPr>
        <w:t xml:space="preserve"> đối với các khía cạnh về kinh tế, xã hội, giới, thủ tục hành chính và tính đồng bộ của hệ thống pháp luật như đã trình bày trên, có thể tổng hợp kết quả đánh giá </w:t>
      </w:r>
      <w:r w:rsidR="00856FAF" w:rsidRPr="00C411F0">
        <w:rPr>
          <w:color w:val="000000" w:themeColor="text1"/>
          <w:lang w:val="vi-VN"/>
        </w:rPr>
        <w:t xml:space="preserve">bằng điểm </w:t>
      </w:r>
      <w:r w:rsidR="002E1679" w:rsidRPr="00C411F0">
        <w:rPr>
          <w:color w:val="000000" w:themeColor="text1"/>
          <w:lang w:val="vi-VN"/>
        </w:rPr>
        <w:t xml:space="preserve">số </w:t>
      </w:r>
      <w:r w:rsidR="004B1523" w:rsidRPr="00C411F0">
        <w:rPr>
          <w:color w:val="000000" w:themeColor="text1"/>
          <w:lang w:val="vi-VN"/>
        </w:rPr>
        <w:t xml:space="preserve">như </w:t>
      </w:r>
      <w:r w:rsidR="00E55C63" w:rsidRPr="00C411F0">
        <w:rPr>
          <w:color w:val="000000" w:themeColor="text1"/>
          <w:lang w:val="vi-VN"/>
        </w:rPr>
        <w:t xml:space="preserve">trong Bảng 1 </w:t>
      </w:r>
      <w:r w:rsidR="004B1523" w:rsidRPr="00C411F0">
        <w:rPr>
          <w:color w:val="000000" w:themeColor="text1"/>
          <w:lang w:val="vi-VN"/>
        </w:rPr>
        <w:t>sau</w:t>
      </w:r>
      <w:r w:rsidR="00856FAF" w:rsidRPr="00C411F0">
        <w:rPr>
          <w:color w:val="000000" w:themeColor="text1"/>
          <w:lang w:val="vi-VN"/>
        </w:rPr>
        <w:t xml:space="preserve"> (thang điểm 0-5)</w:t>
      </w:r>
      <w:r w:rsidR="004B1523" w:rsidRPr="00C411F0">
        <w:rPr>
          <w:color w:val="000000" w:themeColor="text1"/>
          <w:lang w:val="vi-VN"/>
        </w:rPr>
        <w:t>:</w:t>
      </w:r>
    </w:p>
    <w:p w14:paraId="688AFFB1" w14:textId="28C35404" w:rsidR="00E55C63" w:rsidRPr="00C411F0" w:rsidRDefault="00E55C63" w:rsidP="00A41810">
      <w:pPr>
        <w:widowControl w:val="0"/>
        <w:tabs>
          <w:tab w:val="right" w:leader="dot" w:pos="7920"/>
        </w:tabs>
        <w:spacing w:before="120" w:after="120" w:line="340" w:lineRule="exact"/>
        <w:ind w:firstLine="720"/>
        <w:jc w:val="center"/>
        <w:rPr>
          <w:i/>
          <w:iCs/>
          <w:color w:val="000000" w:themeColor="text1"/>
          <w:lang w:val="vi-VN"/>
        </w:rPr>
      </w:pPr>
      <w:r w:rsidRPr="00C411F0">
        <w:rPr>
          <w:i/>
          <w:iCs/>
          <w:color w:val="000000" w:themeColor="text1"/>
          <w:lang w:val="vi-VN"/>
        </w:rPr>
        <w:t>Bảng 1. So sánh tác động tích cực và tiêu cực giữa 02 phương án</w:t>
      </w:r>
    </w:p>
    <w:tbl>
      <w:tblPr>
        <w:tblStyle w:val="TableGrid"/>
        <w:tblW w:w="5084" w:type="pct"/>
        <w:tblLook w:val="04A0" w:firstRow="1" w:lastRow="0" w:firstColumn="1" w:lastColumn="0" w:noHBand="0" w:noVBand="1"/>
      </w:tblPr>
      <w:tblGrid>
        <w:gridCol w:w="2497"/>
        <w:gridCol w:w="1639"/>
        <w:gridCol w:w="1641"/>
        <w:gridCol w:w="1639"/>
        <w:gridCol w:w="1792"/>
      </w:tblGrid>
      <w:tr w:rsidR="004B1523" w:rsidRPr="009605FD" w14:paraId="020E86D2" w14:textId="77777777" w:rsidTr="00A41810">
        <w:trPr>
          <w:tblHeader/>
        </w:trPr>
        <w:tc>
          <w:tcPr>
            <w:tcW w:w="1356" w:type="pct"/>
            <w:vMerge w:val="restart"/>
            <w:shd w:val="clear" w:color="auto" w:fill="E7E6E6" w:themeFill="background2"/>
          </w:tcPr>
          <w:p w14:paraId="64CF003A" w14:textId="47B53D8E" w:rsidR="004B1523" w:rsidRPr="00C411F0" w:rsidRDefault="004B152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Lĩnh vực/</w:t>
            </w:r>
            <w:r w:rsidR="00962513" w:rsidRPr="00C411F0">
              <w:rPr>
                <w:b/>
                <w:bCs/>
                <w:color w:val="000000" w:themeColor="text1"/>
                <w:sz w:val="24"/>
                <w:szCs w:val="24"/>
                <w:lang w:val="vi-VN"/>
              </w:rPr>
              <w:br/>
            </w:r>
            <w:r w:rsidRPr="00C411F0">
              <w:rPr>
                <w:b/>
                <w:bCs/>
                <w:color w:val="000000" w:themeColor="text1"/>
                <w:sz w:val="24"/>
                <w:szCs w:val="24"/>
                <w:lang w:val="vi-VN"/>
              </w:rPr>
              <w:t>đối tượng chịu tác động</w:t>
            </w:r>
          </w:p>
        </w:tc>
        <w:tc>
          <w:tcPr>
            <w:tcW w:w="1781" w:type="pct"/>
            <w:gridSpan w:val="2"/>
            <w:shd w:val="clear" w:color="auto" w:fill="E7E6E6" w:themeFill="background2"/>
          </w:tcPr>
          <w:p w14:paraId="1F2DF100" w14:textId="535B322A" w:rsidR="004B1523" w:rsidRPr="00C411F0" w:rsidRDefault="004B152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PA</w:t>
            </w:r>
            <w:r w:rsidR="00AD12B2" w:rsidRPr="00C411F0">
              <w:rPr>
                <w:b/>
                <w:bCs/>
                <w:color w:val="000000" w:themeColor="text1"/>
                <w:sz w:val="24"/>
                <w:szCs w:val="24"/>
                <w:lang w:val="vi-VN"/>
              </w:rPr>
              <w:t>0</w:t>
            </w:r>
            <w:r w:rsidRPr="00C411F0">
              <w:rPr>
                <w:b/>
                <w:bCs/>
                <w:color w:val="000000" w:themeColor="text1"/>
                <w:sz w:val="24"/>
                <w:szCs w:val="24"/>
                <w:lang w:val="vi-VN"/>
              </w:rPr>
              <w:t xml:space="preserve"> (Giữ nguyên hiện hành)</w:t>
            </w:r>
          </w:p>
        </w:tc>
        <w:tc>
          <w:tcPr>
            <w:tcW w:w="1863" w:type="pct"/>
            <w:gridSpan w:val="2"/>
            <w:shd w:val="clear" w:color="auto" w:fill="E7E6E6" w:themeFill="background2"/>
          </w:tcPr>
          <w:p w14:paraId="05E01EE9" w14:textId="5D12C33C" w:rsidR="004B1523" w:rsidRPr="00C411F0" w:rsidRDefault="004B152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PA</w:t>
            </w:r>
            <w:r w:rsidR="00AD12B2" w:rsidRPr="00C411F0">
              <w:rPr>
                <w:b/>
                <w:bCs/>
                <w:color w:val="000000" w:themeColor="text1"/>
                <w:sz w:val="24"/>
                <w:szCs w:val="24"/>
                <w:lang w:val="vi-VN"/>
              </w:rPr>
              <w:t>1</w:t>
            </w:r>
            <w:r w:rsidRPr="00C411F0">
              <w:rPr>
                <w:b/>
                <w:bCs/>
                <w:color w:val="000000" w:themeColor="text1"/>
                <w:sz w:val="24"/>
                <w:szCs w:val="24"/>
                <w:lang w:val="vi-VN"/>
              </w:rPr>
              <w:t xml:space="preserve"> (như Dự thảo Quyết định)</w:t>
            </w:r>
          </w:p>
        </w:tc>
      </w:tr>
      <w:tr w:rsidR="00962513" w:rsidRPr="00C411F0" w14:paraId="493F5A37" w14:textId="77777777" w:rsidTr="00A41810">
        <w:trPr>
          <w:tblHeader/>
        </w:trPr>
        <w:tc>
          <w:tcPr>
            <w:tcW w:w="1356" w:type="pct"/>
            <w:vMerge/>
            <w:shd w:val="clear" w:color="auto" w:fill="E7E6E6" w:themeFill="background2"/>
          </w:tcPr>
          <w:p w14:paraId="0256E648" w14:textId="77777777" w:rsidR="00962513" w:rsidRPr="00C411F0" w:rsidRDefault="00962513" w:rsidP="00DB07CD">
            <w:pPr>
              <w:widowControl w:val="0"/>
              <w:tabs>
                <w:tab w:val="right" w:leader="dot" w:pos="7920"/>
              </w:tabs>
              <w:snapToGrid w:val="0"/>
              <w:spacing w:before="60" w:after="60"/>
              <w:jc w:val="center"/>
              <w:rPr>
                <w:b/>
                <w:bCs/>
                <w:color w:val="000000" w:themeColor="text1"/>
                <w:sz w:val="24"/>
                <w:szCs w:val="24"/>
                <w:lang w:val="vi-VN"/>
              </w:rPr>
            </w:pPr>
          </w:p>
        </w:tc>
        <w:tc>
          <w:tcPr>
            <w:tcW w:w="890" w:type="pct"/>
            <w:shd w:val="clear" w:color="auto" w:fill="E7E6E6" w:themeFill="background2"/>
          </w:tcPr>
          <w:p w14:paraId="5ACD1047" w14:textId="20CCF1C9" w:rsidR="00962513" w:rsidRPr="00C411F0" w:rsidRDefault="0096251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 xml:space="preserve">Tích cực </w:t>
            </w:r>
            <w:r w:rsidRPr="00C411F0">
              <w:rPr>
                <w:b/>
                <w:bCs/>
                <w:color w:val="000000" w:themeColor="text1"/>
                <w:sz w:val="24"/>
                <w:szCs w:val="24"/>
                <w:lang w:val="vi-VN"/>
              </w:rPr>
              <w:br/>
              <w:t>(lợi ích)</w:t>
            </w:r>
          </w:p>
        </w:tc>
        <w:tc>
          <w:tcPr>
            <w:tcW w:w="891" w:type="pct"/>
            <w:shd w:val="clear" w:color="auto" w:fill="E7E6E6" w:themeFill="background2"/>
          </w:tcPr>
          <w:p w14:paraId="07F66682" w14:textId="71646184" w:rsidR="00962513" w:rsidRPr="00C411F0" w:rsidRDefault="0096251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 xml:space="preserve">Tiêu cực </w:t>
            </w:r>
            <w:r w:rsidRPr="00C411F0">
              <w:rPr>
                <w:b/>
                <w:bCs/>
                <w:color w:val="000000" w:themeColor="text1"/>
                <w:sz w:val="24"/>
                <w:szCs w:val="24"/>
                <w:lang w:val="vi-VN"/>
              </w:rPr>
              <w:br/>
              <w:t>(chi phí)</w:t>
            </w:r>
          </w:p>
        </w:tc>
        <w:tc>
          <w:tcPr>
            <w:tcW w:w="890" w:type="pct"/>
            <w:shd w:val="clear" w:color="auto" w:fill="E7E6E6" w:themeFill="background2"/>
          </w:tcPr>
          <w:p w14:paraId="12C73896" w14:textId="32FDF951" w:rsidR="00962513" w:rsidRPr="00C411F0" w:rsidRDefault="0096251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 xml:space="preserve">Tích cực </w:t>
            </w:r>
            <w:r w:rsidRPr="00C411F0">
              <w:rPr>
                <w:b/>
                <w:bCs/>
                <w:color w:val="000000" w:themeColor="text1"/>
                <w:sz w:val="24"/>
                <w:szCs w:val="24"/>
                <w:lang w:val="vi-VN"/>
              </w:rPr>
              <w:br/>
              <w:t>(lợi ích)</w:t>
            </w:r>
          </w:p>
        </w:tc>
        <w:tc>
          <w:tcPr>
            <w:tcW w:w="973" w:type="pct"/>
            <w:shd w:val="clear" w:color="auto" w:fill="E7E6E6" w:themeFill="background2"/>
          </w:tcPr>
          <w:p w14:paraId="7FD27E2C" w14:textId="545275B6" w:rsidR="00962513" w:rsidRPr="00C411F0" w:rsidRDefault="00962513" w:rsidP="00DB07CD">
            <w:pPr>
              <w:widowControl w:val="0"/>
              <w:tabs>
                <w:tab w:val="right" w:leader="dot" w:pos="7920"/>
              </w:tabs>
              <w:snapToGrid w:val="0"/>
              <w:spacing w:before="60" w:after="60"/>
              <w:jc w:val="center"/>
              <w:rPr>
                <w:b/>
                <w:bCs/>
                <w:color w:val="000000" w:themeColor="text1"/>
                <w:sz w:val="24"/>
                <w:szCs w:val="24"/>
                <w:lang w:val="vi-VN"/>
              </w:rPr>
            </w:pPr>
            <w:r w:rsidRPr="00C411F0">
              <w:rPr>
                <w:b/>
                <w:bCs/>
                <w:color w:val="000000" w:themeColor="text1"/>
                <w:sz w:val="24"/>
                <w:szCs w:val="24"/>
                <w:lang w:val="vi-VN"/>
              </w:rPr>
              <w:t xml:space="preserve">Tiêu cực </w:t>
            </w:r>
            <w:r w:rsidRPr="00C411F0">
              <w:rPr>
                <w:b/>
                <w:bCs/>
                <w:color w:val="000000" w:themeColor="text1"/>
                <w:sz w:val="24"/>
                <w:szCs w:val="24"/>
                <w:lang w:val="vi-VN"/>
              </w:rPr>
              <w:br/>
              <w:t>(chi phí)</w:t>
            </w:r>
          </w:p>
        </w:tc>
      </w:tr>
      <w:tr w:rsidR="004B1523" w:rsidRPr="00C411F0" w14:paraId="176D7102" w14:textId="77777777" w:rsidTr="00A41810">
        <w:tc>
          <w:tcPr>
            <w:tcW w:w="1356" w:type="pct"/>
          </w:tcPr>
          <w:p w14:paraId="1E74D01E" w14:textId="4ADD6328" w:rsidR="004B1523" w:rsidRPr="00C411F0" w:rsidRDefault="004B1523" w:rsidP="00DB07CD">
            <w:pPr>
              <w:widowControl w:val="0"/>
              <w:tabs>
                <w:tab w:val="right" w:leader="dot" w:pos="7920"/>
              </w:tabs>
              <w:snapToGrid w:val="0"/>
              <w:spacing w:before="60" w:after="60"/>
              <w:jc w:val="both"/>
              <w:rPr>
                <w:b/>
                <w:bCs/>
                <w:i/>
                <w:iCs/>
                <w:color w:val="000000" w:themeColor="text1"/>
                <w:lang w:val="vi-VN"/>
              </w:rPr>
            </w:pPr>
            <w:r w:rsidRPr="00C411F0">
              <w:rPr>
                <w:b/>
                <w:bCs/>
                <w:i/>
                <w:iCs/>
                <w:color w:val="000000" w:themeColor="text1"/>
                <w:lang w:val="vi-VN"/>
              </w:rPr>
              <w:t>Tác động kinh tế</w:t>
            </w:r>
          </w:p>
        </w:tc>
        <w:tc>
          <w:tcPr>
            <w:tcW w:w="890" w:type="pct"/>
          </w:tcPr>
          <w:p w14:paraId="0260C41A" w14:textId="3DC7A53D" w:rsidR="004B1523" w:rsidRPr="00C411F0" w:rsidRDefault="00A72F2E"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w:t>
            </w:r>
            <w:r w:rsidR="00E81B58" w:rsidRPr="00C411F0">
              <w:rPr>
                <w:b/>
                <w:bCs/>
                <w:color w:val="000000" w:themeColor="text1"/>
                <w:lang w:val="vi-VN"/>
              </w:rPr>
              <w:t>3</w:t>
            </w:r>
          </w:p>
        </w:tc>
        <w:tc>
          <w:tcPr>
            <w:tcW w:w="891" w:type="pct"/>
          </w:tcPr>
          <w:p w14:paraId="554FCB92" w14:textId="065C94AE" w:rsidR="004B1523" w:rsidRPr="00C411F0" w:rsidRDefault="00A72F2E"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-11</w:t>
            </w:r>
          </w:p>
        </w:tc>
        <w:tc>
          <w:tcPr>
            <w:tcW w:w="890" w:type="pct"/>
          </w:tcPr>
          <w:p w14:paraId="71418DBC" w14:textId="3DC3DEDA" w:rsidR="004B1523" w:rsidRPr="00C411F0" w:rsidRDefault="00A72F2E"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+10</w:t>
            </w:r>
          </w:p>
        </w:tc>
        <w:tc>
          <w:tcPr>
            <w:tcW w:w="973" w:type="pct"/>
          </w:tcPr>
          <w:p w14:paraId="7AE75323" w14:textId="0A7B40EA" w:rsidR="004B1523" w:rsidRPr="00C411F0" w:rsidRDefault="00A72F2E"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-3</w:t>
            </w:r>
          </w:p>
        </w:tc>
      </w:tr>
      <w:tr w:rsidR="004B1523" w:rsidRPr="00C411F0" w14:paraId="7FCD45F5" w14:textId="77777777" w:rsidTr="00A41810">
        <w:tc>
          <w:tcPr>
            <w:tcW w:w="1356" w:type="pct"/>
          </w:tcPr>
          <w:p w14:paraId="5C9526FA" w14:textId="6ACFC80B" w:rsidR="004B1523" w:rsidRPr="00C411F0" w:rsidRDefault="004B1523"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Nhà nước</w:t>
            </w:r>
          </w:p>
        </w:tc>
        <w:tc>
          <w:tcPr>
            <w:tcW w:w="890" w:type="pct"/>
            <w:shd w:val="clear" w:color="auto" w:fill="C5E0B3" w:themeFill="accent6" w:themeFillTint="66"/>
          </w:tcPr>
          <w:p w14:paraId="61052913" w14:textId="2F1AF72B"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c>
          <w:tcPr>
            <w:tcW w:w="891" w:type="pct"/>
            <w:shd w:val="clear" w:color="auto" w:fill="FF0000"/>
          </w:tcPr>
          <w:p w14:paraId="1E059918" w14:textId="28C099F9"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5</w:t>
            </w:r>
          </w:p>
        </w:tc>
        <w:tc>
          <w:tcPr>
            <w:tcW w:w="890" w:type="pct"/>
            <w:shd w:val="clear" w:color="auto" w:fill="92D050"/>
          </w:tcPr>
          <w:p w14:paraId="57CEE35E" w14:textId="3E295A7A"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4</w:t>
            </w:r>
          </w:p>
        </w:tc>
        <w:tc>
          <w:tcPr>
            <w:tcW w:w="973" w:type="pct"/>
            <w:shd w:val="clear" w:color="auto" w:fill="FFFF00"/>
          </w:tcPr>
          <w:p w14:paraId="36F56916" w14:textId="1E491DB3"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r>
      <w:tr w:rsidR="004B1523" w:rsidRPr="00C411F0" w14:paraId="3EC6BDA6" w14:textId="77777777" w:rsidTr="00A41810">
        <w:tc>
          <w:tcPr>
            <w:tcW w:w="1356" w:type="pct"/>
          </w:tcPr>
          <w:p w14:paraId="0101C776" w14:textId="1B6A4BE9" w:rsidR="004B1523" w:rsidRPr="00C411F0" w:rsidRDefault="00F22E5A"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Doanh nghiệp</w:t>
            </w:r>
          </w:p>
        </w:tc>
        <w:tc>
          <w:tcPr>
            <w:tcW w:w="890" w:type="pct"/>
            <w:shd w:val="clear" w:color="auto" w:fill="C5E0B3" w:themeFill="accent6" w:themeFillTint="66"/>
          </w:tcPr>
          <w:p w14:paraId="3C4DAC4B" w14:textId="3888F693"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c>
          <w:tcPr>
            <w:tcW w:w="891" w:type="pct"/>
            <w:shd w:val="clear" w:color="auto" w:fill="ED7D31" w:themeFill="accent2"/>
          </w:tcPr>
          <w:p w14:paraId="0AD79C75" w14:textId="7FDFB939"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4</w:t>
            </w:r>
          </w:p>
        </w:tc>
        <w:tc>
          <w:tcPr>
            <w:tcW w:w="890" w:type="pct"/>
            <w:shd w:val="clear" w:color="auto" w:fill="92D050"/>
          </w:tcPr>
          <w:p w14:paraId="0C99DFF7" w14:textId="5380D788"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3</w:t>
            </w:r>
          </w:p>
        </w:tc>
        <w:tc>
          <w:tcPr>
            <w:tcW w:w="973" w:type="pct"/>
            <w:shd w:val="clear" w:color="auto" w:fill="FFFF00"/>
          </w:tcPr>
          <w:p w14:paraId="0631C7B2" w14:textId="760520F5"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r>
      <w:tr w:rsidR="004B1523" w:rsidRPr="00C411F0" w14:paraId="130064EA" w14:textId="77777777" w:rsidTr="00A41810">
        <w:tc>
          <w:tcPr>
            <w:tcW w:w="1356" w:type="pct"/>
          </w:tcPr>
          <w:p w14:paraId="696655CE" w14:textId="38DCAF5C" w:rsidR="004B1523" w:rsidRPr="00C411F0" w:rsidRDefault="00F22E5A"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Người dân</w:t>
            </w:r>
          </w:p>
        </w:tc>
        <w:tc>
          <w:tcPr>
            <w:tcW w:w="890" w:type="pct"/>
            <w:shd w:val="clear" w:color="auto" w:fill="C5E0B3" w:themeFill="accent6" w:themeFillTint="66"/>
          </w:tcPr>
          <w:p w14:paraId="15F6AB23" w14:textId="796849F4"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c>
          <w:tcPr>
            <w:tcW w:w="891" w:type="pct"/>
            <w:shd w:val="clear" w:color="auto" w:fill="FFFF00"/>
          </w:tcPr>
          <w:p w14:paraId="33101563" w14:textId="44D1C2C2"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2</w:t>
            </w:r>
          </w:p>
        </w:tc>
        <w:tc>
          <w:tcPr>
            <w:tcW w:w="890" w:type="pct"/>
            <w:shd w:val="clear" w:color="auto" w:fill="92D050"/>
          </w:tcPr>
          <w:p w14:paraId="0B114F3C" w14:textId="10D954C0"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3</w:t>
            </w:r>
          </w:p>
        </w:tc>
        <w:tc>
          <w:tcPr>
            <w:tcW w:w="973" w:type="pct"/>
            <w:shd w:val="clear" w:color="auto" w:fill="FFFF00"/>
          </w:tcPr>
          <w:p w14:paraId="3219633A" w14:textId="3DCE5B67" w:rsidR="004B1523" w:rsidRPr="00C411F0" w:rsidRDefault="00A72F2E"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w:t>
            </w:r>
            <w:r w:rsidR="00DB40FC" w:rsidRPr="00C411F0">
              <w:rPr>
                <w:color w:val="000000" w:themeColor="text1"/>
                <w:lang w:val="vi-VN"/>
              </w:rPr>
              <w:t>1</w:t>
            </w:r>
          </w:p>
        </w:tc>
      </w:tr>
      <w:tr w:rsidR="004B1523" w:rsidRPr="00C411F0" w14:paraId="0A1B8C3A" w14:textId="77777777" w:rsidTr="00A41810">
        <w:tc>
          <w:tcPr>
            <w:tcW w:w="1356" w:type="pct"/>
          </w:tcPr>
          <w:p w14:paraId="112C2B5E" w14:textId="7EE6F230" w:rsidR="004B1523" w:rsidRPr="00C411F0" w:rsidRDefault="00DB40FC" w:rsidP="00DB07CD">
            <w:pPr>
              <w:widowControl w:val="0"/>
              <w:tabs>
                <w:tab w:val="right" w:leader="dot" w:pos="7920"/>
              </w:tabs>
              <w:snapToGrid w:val="0"/>
              <w:spacing w:before="60" w:after="60"/>
              <w:jc w:val="both"/>
              <w:rPr>
                <w:b/>
                <w:bCs/>
                <w:i/>
                <w:iCs/>
                <w:color w:val="000000" w:themeColor="text1"/>
                <w:lang w:val="vi-VN"/>
              </w:rPr>
            </w:pPr>
            <w:r w:rsidRPr="00C411F0">
              <w:rPr>
                <w:b/>
                <w:bCs/>
                <w:i/>
                <w:iCs/>
                <w:color w:val="000000" w:themeColor="text1"/>
                <w:lang w:val="vi-VN"/>
              </w:rPr>
              <w:t>Tác động xã hội</w:t>
            </w:r>
          </w:p>
        </w:tc>
        <w:tc>
          <w:tcPr>
            <w:tcW w:w="890" w:type="pct"/>
          </w:tcPr>
          <w:p w14:paraId="66887E20" w14:textId="0539DF3B" w:rsidR="004B1523"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+5</w:t>
            </w:r>
          </w:p>
        </w:tc>
        <w:tc>
          <w:tcPr>
            <w:tcW w:w="891" w:type="pct"/>
          </w:tcPr>
          <w:p w14:paraId="1D5B8EAF" w14:textId="573EF016" w:rsidR="004B1523"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-9</w:t>
            </w:r>
          </w:p>
        </w:tc>
        <w:tc>
          <w:tcPr>
            <w:tcW w:w="890" w:type="pct"/>
          </w:tcPr>
          <w:p w14:paraId="5C7D891E" w14:textId="2C0259D8" w:rsidR="004B1523"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+12</w:t>
            </w:r>
          </w:p>
        </w:tc>
        <w:tc>
          <w:tcPr>
            <w:tcW w:w="973" w:type="pct"/>
          </w:tcPr>
          <w:p w14:paraId="570230EB" w14:textId="789887D2" w:rsidR="004B1523"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r>
      <w:tr w:rsidR="00DB40FC" w:rsidRPr="00C411F0" w14:paraId="3FD957AF" w14:textId="77777777" w:rsidTr="00A41810">
        <w:tc>
          <w:tcPr>
            <w:tcW w:w="1356" w:type="pct"/>
          </w:tcPr>
          <w:p w14:paraId="500BBB33" w14:textId="4D3F9EBA" w:rsidR="00DB40FC" w:rsidRPr="00C411F0" w:rsidRDefault="00DB40FC"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Nhà nước</w:t>
            </w:r>
          </w:p>
        </w:tc>
        <w:tc>
          <w:tcPr>
            <w:tcW w:w="890" w:type="pct"/>
            <w:shd w:val="clear" w:color="auto" w:fill="C5E0B3" w:themeFill="accent6" w:themeFillTint="66"/>
          </w:tcPr>
          <w:p w14:paraId="6D19869D" w14:textId="460AE67E"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+1</w:t>
            </w:r>
          </w:p>
        </w:tc>
        <w:tc>
          <w:tcPr>
            <w:tcW w:w="891" w:type="pct"/>
            <w:shd w:val="clear" w:color="auto" w:fill="ED7D31" w:themeFill="accent2"/>
          </w:tcPr>
          <w:p w14:paraId="074E353E" w14:textId="4F98FFE8"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-3</w:t>
            </w:r>
          </w:p>
        </w:tc>
        <w:tc>
          <w:tcPr>
            <w:tcW w:w="890" w:type="pct"/>
            <w:shd w:val="clear" w:color="auto" w:fill="92D050"/>
          </w:tcPr>
          <w:p w14:paraId="5E5D36E8" w14:textId="2DD55814"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+4</w:t>
            </w:r>
          </w:p>
        </w:tc>
        <w:tc>
          <w:tcPr>
            <w:tcW w:w="973" w:type="pct"/>
          </w:tcPr>
          <w:p w14:paraId="391042A4" w14:textId="3158CBE3"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0</w:t>
            </w:r>
          </w:p>
        </w:tc>
      </w:tr>
      <w:tr w:rsidR="00DB40FC" w:rsidRPr="00C411F0" w14:paraId="663CD540" w14:textId="77777777" w:rsidTr="00A41810">
        <w:tc>
          <w:tcPr>
            <w:tcW w:w="1356" w:type="pct"/>
          </w:tcPr>
          <w:p w14:paraId="13A95135" w14:textId="777B3A95" w:rsidR="00DB40FC" w:rsidRPr="00C411F0" w:rsidRDefault="00DB40FC"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Doanh nghiệp</w:t>
            </w:r>
          </w:p>
        </w:tc>
        <w:tc>
          <w:tcPr>
            <w:tcW w:w="890" w:type="pct"/>
            <w:shd w:val="clear" w:color="auto" w:fill="C5E0B3" w:themeFill="accent6" w:themeFillTint="66"/>
          </w:tcPr>
          <w:p w14:paraId="619D1E17" w14:textId="40240038"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+2</w:t>
            </w:r>
          </w:p>
        </w:tc>
        <w:tc>
          <w:tcPr>
            <w:tcW w:w="891" w:type="pct"/>
            <w:shd w:val="clear" w:color="auto" w:fill="FFFF00"/>
          </w:tcPr>
          <w:p w14:paraId="63984F44" w14:textId="0A5FF5F2"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-2</w:t>
            </w:r>
          </w:p>
        </w:tc>
        <w:tc>
          <w:tcPr>
            <w:tcW w:w="890" w:type="pct"/>
            <w:shd w:val="clear" w:color="auto" w:fill="92D050"/>
          </w:tcPr>
          <w:p w14:paraId="6525C7A8" w14:textId="2D6AFBE5"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+3</w:t>
            </w:r>
          </w:p>
        </w:tc>
        <w:tc>
          <w:tcPr>
            <w:tcW w:w="973" w:type="pct"/>
          </w:tcPr>
          <w:p w14:paraId="75695DB5" w14:textId="7C4E4A71"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0</w:t>
            </w:r>
          </w:p>
        </w:tc>
      </w:tr>
      <w:tr w:rsidR="00DB40FC" w:rsidRPr="00C411F0" w14:paraId="31096386" w14:textId="77777777" w:rsidTr="00A41810">
        <w:tc>
          <w:tcPr>
            <w:tcW w:w="1356" w:type="pct"/>
          </w:tcPr>
          <w:p w14:paraId="76046F8C" w14:textId="40BED9C3" w:rsidR="00DB40FC" w:rsidRPr="00C411F0" w:rsidRDefault="00DB40FC"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Môi trường</w:t>
            </w:r>
          </w:p>
        </w:tc>
        <w:tc>
          <w:tcPr>
            <w:tcW w:w="890" w:type="pct"/>
            <w:shd w:val="clear" w:color="auto" w:fill="C5E0B3" w:themeFill="accent6" w:themeFillTint="66"/>
          </w:tcPr>
          <w:p w14:paraId="23383DBB" w14:textId="7D158784"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+1</w:t>
            </w:r>
          </w:p>
        </w:tc>
        <w:tc>
          <w:tcPr>
            <w:tcW w:w="891" w:type="pct"/>
            <w:shd w:val="clear" w:color="auto" w:fill="FFFF00"/>
          </w:tcPr>
          <w:p w14:paraId="3FA4E9C1" w14:textId="26BEFCF8"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-2</w:t>
            </w:r>
          </w:p>
        </w:tc>
        <w:tc>
          <w:tcPr>
            <w:tcW w:w="890" w:type="pct"/>
            <w:shd w:val="clear" w:color="auto" w:fill="92D050"/>
          </w:tcPr>
          <w:p w14:paraId="34A85B25" w14:textId="2162DE44"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+3</w:t>
            </w:r>
          </w:p>
        </w:tc>
        <w:tc>
          <w:tcPr>
            <w:tcW w:w="973" w:type="pct"/>
          </w:tcPr>
          <w:p w14:paraId="39BD5F9A" w14:textId="68F58947"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0</w:t>
            </w:r>
          </w:p>
        </w:tc>
      </w:tr>
      <w:tr w:rsidR="00DB40FC" w:rsidRPr="00C411F0" w14:paraId="53FE87E3" w14:textId="77777777" w:rsidTr="00A41810">
        <w:tc>
          <w:tcPr>
            <w:tcW w:w="1356" w:type="pct"/>
          </w:tcPr>
          <w:p w14:paraId="01D44B19" w14:textId="5BBE6EB8" w:rsidR="00DB40FC" w:rsidRPr="00C411F0" w:rsidRDefault="00DB40FC"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Người dân</w:t>
            </w:r>
          </w:p>
        </w:tc>
        <w:tc>
          <w:tcPr>
            <w:tcW w:w="890" w:type="pct"/>
            <w:shd w:val="clear" w:color="auto" w:fill="C5E0B3" w:themeFill="accent6" w:themeFillTint="66"/>
          </w:tcPr>
          <w:p w14:paraId="4851B946" w14:textId="58353C59"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+1</w:t>
            </w:r>
          </w:p>
        </w:tc>
        <w:tc>
          <w:tcPr>
            <w:tcW w:w="891" w:type="pct"/>
            <w:shd w:val="clear" w:color="auto" w:fill="FFFF00"/>
          </w:tcPr>
          <w:p w14:paraId="023D9F4F" w14:textId="2DBA2886"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-2</w:t>
            </w:r>
          </w:p>
        </w:tc>
        <w:tc>
          <w:tcPr>
            <w:tcW w:w="890" w:type="pct"/>
            <w:shd w:val="clear" w:color="auto" w:fill="E2EFD9" w:themeFill="accent6" w:themeFillTint="33"/>
          </w:tcPr>
          <w:p w14:paraId="11153AE5" w14:textId="58A70A4D"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+2</w:t>
            </w:r>
          </w:p>
        </w:tc>
        <w:tc>
          <w:tcPr>
            <w:tcW w:w="973" w:type="pct"/>
          </w:tcPr>
          <w:p w14:paraId="76812893" w14:textId="1B431C11" w:rsidR="00DB40FC" w:rsidRPr="00C411F0" w:rsidRDefault="00856FAF" w:rsidP="00DB07CD">
            <w:pPr>
              <w:widowControl w:val="0"/>
              <w:tabs>
                <w:tab w:val="right" w:leader="dot" w:pos="7920"/>
              </w:tabs>
              <w:snapToGrid w:val="0"/>
              <w:spacing w:before="60" w:after="60"/>
              <w:jc w:val="center"/>
              <w:rPr>
                <w:color w:val="000000" w:themeColor="text1"/>
                <w:lang w:val="vi-VN"/>
              </w:rPr>
            </w:pPr>
            <w:r w:rsidRPr="00C411F0">
              <w:rPr>
                <w:color w:val="000000" w:themeColor="text1"/>
                <w:lang w:val="vi-VN"/>
              </w:rPr>
              <w:t>0</w:t>
            </w:r>
          </w:p>
        </w:tc>
      </w:tr>
      <w:tr w:rsidR="00DB40FC" w:rsidRPr="00C411F0" w14:paraId="5D97CDF2" w14:textId="77777777" w:rsidTr="00A41810">
        <w:tc>
          <w:tcPr>
            <w:tcW w:w="1356" w:type="pct"/>
          </w:tcPr>
          <w:p w14:paraId="4E8AAE79" w14:textId="3383D257" w:rsidR="00DB40FC" w:rsidRPr="00C411F0" w:rsidRDefault="00856FAF" w:rsidP="00DB07CD">
            <w:pPr>
              <w:widowControl w:val="0"/>
              <w:tabs>
                <w:tab w:val="right" w:leader="dot" w:pos="7920"/>
              </w:tabs>
              <w:snapToGrid w:val="0"/>
              <w:spacing w:before="60" w:after="60"/>
              <w:jc w:val="both"/>
              <w:rPr>
                <w:b/>
                <w:bCs/>
                <w:i/>
                <w:iCs/>
                <w:color w:val="000000" w:themeColor="text1"/>
                <w:lang w:val="vi-VN"/>
              </w:rPr>
            </w:pPr>
            <w:r w:rsidRPr="00C411F0">
              <w:rPr>
                <w:b/>
                <w:bCs/>
                <w:i/>
                <w:iCs/>
                <w:color w:val="000000" w:themeColor="text1"/>
                <w:lang w:val="vi-VN"/>
              </w:rPr>
              <w:t>Tác động giới</w:t>
            </w:r>
          </w:p>
        </w:tc>
        <w:tc>
          <w:tcPr>
            <w:tcW w:w="890" w:type="pct"/>
          </w:tcPr>
          <w:p w14:paraId="3954370B" w14:textId="63291192" w:rsidR="00DB40FC"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891" w:type="pct"/>
          </w:tcPr>
          <w:p w14:paraId="6ED067BA" w14:textId="3993F032" w:rsidR="00DB40FC"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890" w:type="pct"/>
          </w:tcPr>
          <w:p w14:paraId="4C283664" w14:textId="738DA365" w:rsidR="00DB40FC"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+1</w:t>
            </w:r>
          </w:p>
        </w:tc>
        <w:tc>
          <w:tcPr>
            <w:tcW w:w="973" w:type="pct"/>
          </w:tcPr>
          <w:p w14:paraId="3DBB82DB" w14:textId="1BC25181" w:rsidR="00DB40FC"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r>
      <w:tr w:rsidR="00856FAF" w:rsidRPr="00C411F0" w14:paraId="3D6656DD" w14:textId="77777777" w:rsidTr="00A41810">
        <w:tc>
          <w:tcPr>
            <w:tcW w:w="1356" w:type="pct"/>
          </w:tcPr>
          <w:p w14:paraId="13ABF797" w14:textId="6B28CFC8" w:rsidR="00856FAF" w:rsidRPr="00C411F0" w:rsidRDefault="00856FAF" w:rsidP="00DB07CD">
            <w:pPr>
              <w:widowControl w:val="0"/>
              <w:tabs>
                <w:tab w:val="right" w:leader="dot" w:pos="7920"/>
              </w:tabs>
              <w:snapToGrid w:val="0"/>
              <w:spacing w:before="60" w:after="60"/>
              <w:jc w:val="both"/>
              <w:rPr>
                <w:b/>
                <w:bCs/>
                <w:i/>
                <w:iCs/>
                <w:color w:val="000000" w:themeColor="text1"/>
                <w:lang w:val="vi-VN"/>
              </w:rPr>
            </w:pPr>
            <w:r w:rsidRPr="00C411F0">
              <w:rPr>
                <w:b/>
                <w:bCs/>
                <w:i/>
                <w:iCs/>
                <w:color w:val="000000" w:themeColor="text1"/>
                <w:lang w:val="vi-VN"/>
              </w:rPr>
              <w:lastRenderedPageBreak/>
              <w:t>Tác động TTHC</w:t>
            </w:r>
          </w:p>
        </w:tc>
        <w:tc>
          <w:tcPr>
            <w:tcW w:w="890" w:type="pct"/>
          </w:tcPr>
          <w:p w14:paraId="474605BE" w14:textId="17B81ADA"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891" w:type="pct"/>
          </w:tcPr>
          <w:p w14:paraId="6457121A" w14:textId="0CEAE5F4"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890" w:type="pct"/>
          </w:tcPr>
          <w:p w14:paraId="7B5E659B" w14:textId="2A84836E"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973" w:type="pct"/>
          </w:tcPr>
          <w:p w14:paraId="6F6CD64E" w14:textId="38B2D8DF"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r>
      <w:tr w:rsidR="00856FAF" w:rsidRPr="00C411F0" w14:paraId="703C640B" w14:textId="77777777" w:rsidTr="00A41810">
        <w:tc>
          <w:tcPr>
            <w:tcW w:w="1356" w:type="pct"/>
          </w:tcPr>
          <w:p w14:paraId="251F05D2" w14:textId="359BD91F" w:rsidR="00856FAF" w:rsidRPr="00C411F0" w:rsidRDefault="00856FAF" w:rsidP="00DB07CD">
            <w:pPr>
              <w:widowControl w:val="0"/>
              <w:tabs>
                <w:tab w:val="right" w:leader="dot" w:pos="7920"/>
              </w:tabs>
              <w:snapToGrid w:val="0"/>
              <w:spacing w:before="60" w:after="60"/>
              <w:jc w:val="both"/>
              <w:rPr>
                <w:b/>
                <w:bCs/>
                <w:i/>
                <w:iCs/>
                <w:color w:val="000000" w:themeColor="text1"/>
                <w:lang w:val="vi-VN"/>
              </w:rPr>
            </w:pPr>
            <w:r w:rsidRPr="00C411F0">
              <w:rPr>
                <w:b/>
                <w:bCs/>
                <w:i/>
                <w:iCs/>
                <w:color w:val="000000" w:themeColor="text1"/>
                <w:lang w:val="vi-VN"/>
              </w:rPr>
              <w:t>Tính đồng bộ về pháp luật</w:t>
            </w:r>
          </w:p>
        </w:tc>
        <w:tc>
          <w:tcPr>
            <w:tcW w:w="890" w:type="pct"/>
          </w:tcPr>
          <w:p w14:paraId="322F212E" w14:textId="36E53801"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c>
          <w:tcPr>
            <w:tcW w:w="891" w:type="pct"/>
            <w:shd w:val="clear" w:color="auto" w:fill="FF0000"/>
          </w:tcPr>
          <w:p w14:paraId="5518BE06" w14:textId="773BAA49"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-5</w:t>
            </w:r>
          </w:p>
        </w:tc>
        <w:tc>
          <w:tcPr>
            <w:tcW w:w="890" w:type="pct"/>
            <w:shd w:val="clear" w:color="auto" w:fill="00B050"/>
          </w:tcPr>
          <w:p w14:paraId="313EBDA1" w14:textId="0108F2A1"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+5</w:t>
            </w:r>
          </w:p>
        </w:tc>
        <w:tc>
          <w:tcPr>
            <w:tcW w:w="973" w:type="pct"/>
          </w:tcPr>
          <w:p w14:paraId="4EFD8DF9" w14:textId="4F50C708"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0</w:t>
            </w:r>
          </w:p>
        </w:tc>
      </w:tr>
      <w:tr w:rsidR="00856FAF" w:rsidRPr="00C411F0" w14:paraId="3B35112E" w14:textId="77777777" w:rsidTr="00A41810">
        <w:tc>
          <w:tcPr>
            <w:tcW w:w="1356" w:type="pct"/>
          </w:tcPr>
          <w:p w14:paraId="2D50CF84" w14:textId="370C2451" w:rsidR="00856FAF" w:rsidRPr="00C411F0" w:rsidRDefault="00856FAF" w:rsidP="00DB07CD">
            <w:pPr>
              <w:widowControl w:val="0"/>
              <w:tabs>
                <w:tab w:val="right" w:leader="dot" w:pos="7920"/>
              </w:tabs>
              <w:snapToGrid w:val="0"/>
              <w:spacing w:before="60" w:after="60"/>
              <w:jc w:val="both"/>
              <w:rPr>
                <w:color w:val="000000" w:themeColor="text1"/>
                <w:lang w:val="vi-VN"/>
              </w:rPr>
            </w:pPr>
            <w:r w:rsidRPr="00C411F0">
              <w:rPr>
                <w:color w:val="000000" w:themeColor="text1"/>
                <w:lang w:val="vi-VN"/>
              </w:rPr>
              <w:t>Tổng điểm</w:t>
            </w:r>
          </w:p>
        </w:tc>
        <w:tc>
          <w:tcPr>
            <w:tcW w:w="890" w:type="pct"/>
          </w:tcPr>
          <w:p w14:paraId="1035B40D" w14:textId="5FCAA1E0"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8</w:t>
            </w:r>
          </w:p>
        </w:tc>
        <w:tc>
          <w:tcPr>
            <w:tcW w:w="891" w:type="pct"/>
          </w:tcPr>
          <w:p w14:paraId="774919EE" w14:textId="4924A620"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-25</w:t>
            </w:r>
          </w:p>
        </w:tc>
        <w:tc>
          <w:tcPr>
            <w:tcW w:w="890" w:type="pct"/>
          </w:tcPr>
          <w:p w14:paraId="4A74BD0A" w14:textId="5D138F1A"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28</w:t>
            </w:r>
          </w:p>
        </w:tc>
        <w:tc>
          <w:tcPr>
            <w:tcW w:w="973" w:type="pct"/>
          </w:tcPr>
          <w:p w14:paraId="7B8512F4" w14:textId="247AD4EA" w:rsidR="00856FAF" w:rsidRPr="00C411F0" w:rsidRDefault="00856FAF" w:rsidP="00DB07CD">
            <w:pPr>
              <w:widowControl w:val="0"/>
              <w:tabs>
                <w:tab w:val="right" w:leader="dot" w:pos="7920"/>
              </w:tabs>
              <w:snapToGrid w:val="0"/>
              <w:spacing w:before="60" w:after="60"/>
              <w:jc w:val="center"/>
              <w:rPr>
                <w:b/>
                <w:bCs/>
                <w:color w:val="000000" w:themeColor="text1"/>
                <w:lang w:val="vi-VN"/>
              </w:rPr>
            </w:pPr>
            <w:r w:rsidRPr="00C411F0">
              <w:rPr>
                <w:b/>
                <w:bCs/>
                <w:color w:val="000000" w:themeColor="text1"/>
                <w:lang w:val="vi-VN"/>
              </w:rPr>
              <w:t>-3</w:t>
            </w:r>
          </w:p>
        </w:tc>
      </w:tr>
    </w:tbl>
    <w:p w14:paraId="2E86E304" w14:textId="77777777" w:rsidR="00255F30" w:rsidRPr="00C411F0" w:rsidRDefault="00255F30" w:rsidP="00255F30">
      <w:pPr>
        <w:widowControl w:val="0"/>
        <w:tabs>
          <w:tab w:val="right" w:leader="dot" w:pos="7920"/>
        </w:tabs>
        <w:spacing w:before="80" w:line="376" w:lineRule="exact"/>
        <w:jc w:val="both"/>
        <w:rPr>
          <w:i/>
          <w:iCs/>
          <w:color w:val="000000" w:themeColor="text1"/>
          <w:lang w:val="vi-VN"/>
        </w:rPr>
      </w:pPr>
      <w:r w:rsidRPr="00C411F0">
        <w:rPr>
          <w:i/>
          <w:iCs/>
          <w:color w:val="000000" w:themeColor="text1"/>
          <w:lang w:val="vi-VN"/>
        </w:rPr>
        <w:t xml:space="preserve">Ghi chú: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31"/>
        <w:gridCol w:w="648"/>
        <w:gridCol w:w="648"/>
        <w:gridCol w:w="647"/>
        <w:gridCol w:w="648"/>
        <w:gridCol w:w="637"/>
      </w:tblGrid>
      <w:tr w:rsidR="00C411F0" w:rsidRPr="00C411F0" w14:paraId="7F2BB02C" w14:textId="77777777" w:rsidTr="00A41810">
        <w:tc>
          <w:tcPr>
            <w:tcW w:w="4394" w:type="dxa"/>
            <w:tcBorders>
              <w:right w:val="single" w:sz="4" w:space="0" w:color="auto"/>
            </w:tcBorders>
          </w:tcPr>
          <w:p w14:paraId="07BFD637" w14:textId="77777777" w:rsidR="00AD12B2" w:rsidRPr="00C411F0" w:rsidRDefault="00AD12B2" w:rsidP="00EF0061">
            <w:pPr>
              <w:widowControl w:val="0"/>
              <w:tabs>
                <w:tab w:val="right" w:leader="dot" w:pos="7920"/>
              </w:tabs>
              <w:spacing w:before="40" w:after="40" w:line="340" w:lineRule="exact"/>
              <w:jc w:val="both"/>
              <w:rPr>
                <w:i/>
                <w:iCs/>
                <w:color w:val="000000" w:themeColor="text1"/>
                <w:lang w:val="vi-VN"/>
              </w:rPr>
            </w:pPr>
            <w:r w:rsidRPr="00C411F0">
              <w:rPr>
                <w:i/>
                <w:iCs/>
                <w:color w:val="000000" w:themeColor="text1"/>
                <w:lang w:val="vi-VN"/>
              </w:rPr>
              <w:t xml:space="preserve">Thang điểm tích cực (lợi ích)       </w:t>
            </w:r>
            <w:r w:rsidRPr="00C411F0">
              <w:rPr>
                <w:color w:val="000000" w:themeColor="text1"/>
                <w:lang w:val="vi-VN"/>
              </w:rPr>
              <w:t>(+)</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9B0A" w14:textId="1582CDC3"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0</w:t>
            </w:r>
          </w:p>
        </w:tc>
        <w:tc>
          <w:tcPr>
            <w:tcW w:w="64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89B393" w14:textId="0550C10C"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1</w:t>
            </w:r>
          </w:p>
        </w:tc>
        <w:tc>
          <w:tcPr>
            <w:tcW w:w="64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BB060F"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2</w:t>
            </w:r>
          </w:p>
        </w:tc>
        <w:tc>
          <w:tcPr>
            <w:tcW w:w="647" w:type="dxa"/>
            <w:tcBorders>
              <w:top w:val="single" w:sz="4" w:space="0" w:color="auto"/>
              <w:left w:val="single" w:sz="4" w:space="0" w:color="auto"/>
              <w:bottom w:val="single" w:sz="4" w:space="0" w:color="auto"/>
              <w:right w:val="single" w:sz="4" w:space="0" w:color="auto"/>
            </w:tcBorders>
            <w:shd w:val="clear" w:color="auto" w:fill="92D050"/>
          </w:tcPr>
          <w:p w14:paraId="17E470BA"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3</w:t>
            </w:r>
          </w:p>
        </w:tc>
        <w:tc>
          <w:tcPr>
            <w:tcW w:w="648" w:type="dxa"/>
            <w:tcBorders>
              <w:top w:val="single" w:sz="4" w:space="0" w:color="auto"/>
              <w:left w:val="single" w:sz="4" w:space="0" w:color="auto"/>
              <w:bottom w:val="single" w:sz="4" w:space="0" w:color="auto"/>
              <w:right w:val="single" w:sz="4" w:space="0" w:color="auto"/>
            </w:tcBorders>
            <w:shd w:val="clear" w:color="auto" w:fill="92D050"/>
          </w:tcPr>
          <w:p w14:paraId="31C54C0A"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4</w:t>
            </w:r>
          </w:p>
        </w:tc>
        <w:tc>
          <w:tcPr>
            <w:tcW w:w="637" w:type="dxa"/>
            <w:tcBorders>
              <w:top w:val="single" w:sz="4" w:space="0" w:color="auto"/>
              <w:left w:val="single" w:sz="4" w:space="0" w:color="auto"/>
              <w:bottom w:val="single" w:sz="4" w:space="0" w:color="auto"/>
              <w:right w:val="single" w:sz="4" w:space="0" w:color="auto"/>
            </w:tcBorders>
            <w:shd w:val="clear" w:color="auto" w:fill="00B050"/>
          </w:tcPr>
          <w:p w14:paraId="7902E582"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5</w:t>
            </w:r>
          </w:p>
        </w:tc>
      </w:tr>
      <w:tr w:rsidR="00C411F0" w:rsidRPr="00C411F0" w14:paraId="04460DB9" w14:textId="77777777" w:rsidTr="004D3F60">
        <w:tc>
          <w:tcPr>
            <w:tcW w:w="4394" w:type="dxa"/>
            <w:tcBorders>
              <w:right w:val="single" w:sz="4" w:space="0" w:color="auto"/>
            </w:tcBorders>
          </w:tcPr>
          <w:p w14:paraId="4A12833E" w14:textId="77E8C3FD" w:rsidR="00AD12B2" w:rsidRPr="00C411F0" w:rsidRDefault="00AD12B2" w:rsidP="00EF0061">
            <w:pPr>
              <w:widowControl w:val="0"/>
              <w:tabs>
                <w:tab w:val="right" w:leader="dot" w:pos="7920"/>
              </w:tabs>
              <w:spacing w:before="40" w:after="40" w:line="340" w:lineRule="exact"/>
              <w:jc w:val="both"/>
              <w:rPr>
                <w:i/>
                <w:iCs/>
                <w:color w:val="000000" w:themeColor="text1"/>
                <w:lang w:val="vi-VN"/>
              </w:rPr>
            </w:pPr>
            <w:r w:rsidRPr="00C411F0">
              <w:rPr>
                <w:i/>
                <w:iCs/>
                <w:color w:val="000000" w:themeColor="text1"/>
                <w:lang w:val="vi-VN"/>
              </w:rPr>
              <w:t>Thang điểm tiêu cực (chi phí)</w:t>
            </w:r>
            <w:r w:rsidRPr="00C411F0">
              <w:rPr>
                <w:color w:val="000000" w:themeColor="text1"/>
                <w:lang w:val="vi-VN"/>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3C185" w14:textId="561C6876"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0</w:t>
            </w:r>
          </w:p>
        </w:tc>
        <w:tc>
          <w:tcPr>
            <w:tcW w:w="648" w:type="dxa"/>
            <w:tcBorders>
              <w:top w:val="single" w:sz="4" w:space="0" w:color="auto"/>
              <w:left w:val="single" w:sz="4" w:space="0" w:color="auto"/>
              <w:bottom w:val="single" w:sz="4" w:space="0" w:color="auto"/>
              <w:right w:val="single" w:sz="4" w:space="0" w:color="auto"/>
            </w:tcBorders>
            <w:shd w:val="clear" w:color="auto" w:fill="FFFF00"/>
          </w:tcPr>
          <w:p w14:paraId="4341B3B8" w14:textId="5FEA9284"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1</w:t>
            </w:r>
          </w:p>
        </w:tc>
        <w:tc>
          <w:tcPr>
            <w:tcW w:w="648" w:type="dxa"/>
            <w:tcBorders>
              <w:top w:val="single" w:sz="4" w:space="0" w:color="auto"/>
              <w:left w:val="single" w:sz="4" w:space="0" w:color="auto"/>
              <w:bottom w:val="single" w:sz="4" w:space="0" w:color="auto"/>
              <w:right w:val="single" w:sz="4" w:space="0" w:color="auto"/>
            </w:tcBorders>
            <w:shd w:val="clear" w:color="auto" w:fill="FFFF00"/>
          </w:tcPr>
          <w:p w14:paraId="4A987DA6"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2</w:t>
            </w:r>
          </w:p>
        </w:tc>
        <w:tc>
          <w:tcPr>
            <w:tcW w:w="647" w:type="dxa"/>
            <w:tcBorders>
              <w:top w:val="single" w:sz="4" w:space="0" w:color="auto"/>
              <w:left w:val="single" w:sz="4" w:space="0" w:color="auto"/>
              <w:bottom w:val="single" w:sz="4" w:space="0" w:color="auto"/>
              <w:right w:val="single" w:sz="4" w:space="0" w:color="auto"/>
            </w:tcBorders>
            <w:shd w:val="clear" w:color="auto" w:fill="ED7D31" w:themeFill="accent2"/>
          </w:tcPr>
          <w:p w14:paraId="5719210B"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3</w:t>
            </w:r>
          </w:p>
        </w:tc>
        <w:tc>
          <w:tcPr>
            <w:tcW w:w="648" w:type="dxa"/>
            <w:tcBorders>
              <w:top w:val="single" w:sz="4" w:space="0" w:color="auto"/>
              <w:left w:val="single" w:sz="4" w:space="0" w:color="auto"/>
              <w:bottom w:val="single" w:sz="4" w:space="0" w:color="auto"/>
              <w:right w:val="single" w:sz="4" w:space="0" w:color="auto"/>
            </w:tcBorders>
            <w:shd w:val="clear" w:color="auto" w:fill="ED7D31" w:themeFill="accent2"/>
          </w:tcPr>
          <w:p w14:paraId="7A1597BB"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4</w:t>
            </w:r>
          </w:p>
        </w:tc>
        <w:tc>
          <w:tcPr>
            <w:tcW w:w="637" w:type="dxa"/>
            <w:tcBorders>
              <w:top w:val="single" w:sz="4" w:space="0" w:color="auto"/>
              <w:left w:val="single" w:sz="4" w:space="0" w:color="auto"/>
              <w:bottom w:val="single" w:sz="4" w:space="0" w:color="auto"/>
              <w:right w:val="single" w:sz="4" w:space="0" w:color="auto"/>
            </w:tcBorders>
            <w:shd w:val="clear" w:color="auto" w:fill="FF0000"/>
          </w:tcPr>
          <w:p w14:paraId="296AE0FD" w14:textId="77777777" w:rsidR="00AD12B2" w:rsidRPr="00C411F0" w:rsidRDefault="00AD12B2"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5</w:t>
            </w:r>
          </w:p>
        </w:tc>
      </w:tr>
    </w:tbl>
    <w:p w14:paraId="06635EBE" w14:textId="5A7F9799" w:rsidR="00FF43B0" w:rsidRPr="00C411F0" w:rsidRDefault="00DB07CD" w:rsidP="00980511">
      <w:pPr>
        <w:widowControl w:val="0"/>
        <w:tabs>
          <w:tab w:val="right" w:leader="dot" w:pos="7920"/>
        </w:tabs>
        <w:spacing w:before="120" w:after="120" w:line="376" w:lineRule="exact"/>
        <w:ind w:firstLine="454"/>
        <w:jc w:val="both"/>
        <w:rPr>
          <w:i/>
          <w:iCs/>
          <w:color w:val="000000" w:themeColor="text1"/>
          <w:lang w:val="vi-VN"/>
        </w:rPr>
      </w:pPr>
      <w:r w:rsidRPr="00C411F0">
        <w:rPr>
          <w:noProof/>
          <w:color w:val="000000" w:themeColor="text1"/>
        </w:rPr>
        <w:drawing>
          <wp:anchor distT="0" distB="0" distL="114300" distR="114300" simplePos="0" relativeHeight="251662336" behindDoc="0" locked="0" layoutInCell="1" allowOverlap="1" wp14:anchorId="6A2E1A73" wp14:editId="67809DF2">
            <wp:simplePos x="0" y="0"/>
            <wp:positionH relativeFrom="margin">
              <wp:posOffset>725805</wp:posOffset>
            </wp:positionH>
            <wp:positionV relativeFrom="paragraph">
              <wp:posOffset>329565</wp:posOffset>
            </wp:positionV>
            <wp:extent cx="4290060" cy="3209925"/>
            <wp:effectExtent l="0" t="0" r="15240" b="15875"/>
            <wp:wrapNone/>
            <wp:docPr id="6" name="Chart 6">
              <a:extLst xmlns:a="http://schemas.openxmlformats.org/drawingml/2006/main">
                <a:ext uri="{FF2B5EF4-FFF2-40B4-BE49-F238E27FC236}">
                  <a16:creationId xmlns:a16="http://schemas.microsoft.com/office/drawing/2014/main" id="{E564E8E3-A2B9-60D3-84F5-4E94ED76A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8A5E310" w14:textId="25AC4051" w:rsidR="00FF43B0" w:rsidRPr="00C411F0" w:rsidRDefault="00FF43B0" w:rsidP="00980511">
      <w:pPr>
        <w:widowControl w:val="0"/>
        <w:tabs>
          <w:tab w:val="right" w:leader="dot" w:pos="7920"/>
        </w:tabs>
        <w:spacing w:before="120" w:after="120" w:line="376" w:lineRule="exact"/>
        <w:ind w:firstLine="454"/>
        <w:jc w:val="both"/>
        <w:rPr>
          <w:i/>
          <w:iCs/>
          <w:color w:val="000000" w:themeColor="text1"/>
          <w:lang w:val="vi-VN"/>
        </w:rPr>
      </w:pPr>
    </w:p>
    <w:p w14:paraId="5C2C309A" w14:textId="2651613C" w:rsidR="00FF43B0" w:rsidRPr="00C411F0" w:rsidRDefault="00FF43B0" w:rsidP="00980511">
      <w:pPr>
        <w:widowControl w:val="0"/>
        <w:tabs>
          <w:tab w:val="right" w:leader="dot" w:pos="7920"/>
        </w:tabs>
        <w:spacing w:before="120" w:after="120" w:line="376" w:lineRule="exact"/>
        <w:ind w:firstLine="454"/>
        <w:jc w:val="both"/>
        <w:rPr>
          <w:i/>
          <w:iCs/>
          <w:color w:val="000000" w:themeColor="text1"/>
          <w:lang w:val="vi-VN"/>
        </w:rPr>
      </w:pPr>
    </w:p>
    <w:p w14:paraId="1B0BF3BF" w14:textId="34929BA9" w:rsidR="00FF43B0" w:rsidRPr="00C411F0" w:rsidRDefault="00FF43B0" w:rsidP="00980511">
      <w:pPr>
        <w:widowControl w:val="0"/>
        <w:tabs>
          <w:tab w:val="right" w:leader="dot" w:pos="7920"/>
        </w:tabs>
        <w:spacing w:before="120" w:after="120" w:line="376" w:lineRule="exact"/>
        <w:ind w:firstLine="454"/>
        <w:jc w:val="both"/>
        <w:rPr>
          <w:i/>
          <w:iCs/>
          <w:color w:val="000000" w:themeColor="text1"/>
          <w:lang w:val="vi-VN"/>
        </w:rPr>
      </w:pPr>
    </w:p>
    <w:p w14:paraId="776A81DA" w14:textId="4C0471C5" w:rsidR="00FF43B0" w:rsidRPr="00C411F0" w:rsidRDefault="00FF43B0" w:rsidP="00980511">
      <w:pPr>
        <w:widowControl w:val="0"/>
        <w:tabs>
          <w:tab w:val="right" w:leader="dot" w:pos="7920"/>
        </w:tabs>
        <w:spacing w:before="120" w:after="120" w:line="376" w:lineRule="exact"/>
        <w:ind w:firstLine="454"/>
        <w:jc w:val="both"/>
        <w:rPr>
          <w:i/>
          <w:iCs/>
          <w:color w:val="000000" w:themeColor="text1"/>
          <w:lang w:val="vi-VN"/>
        </w:rPr>
      </w:pPr>
    </w:p>
    <w:p w14:paraId="36B5E565" w14:textId="25BD2359" w:rsidR="00E41BC7" w:rsidRDefault="00E41BC7">
      <w:pPr>
        <w:rPr>
          <w:i/>
          <w:iCs/>
          <w:color w:val="000000" w:themeColor="text1"/>
          <w:lang w:val="vi-VN"/>
        </w:rPr>
      </w:pPr>
    </w:p>
    <w:p w14:paraId="6401DB7B" w14:textId="364DE8D5" w:rsidR="00E41BC7" w:rsidRDefault="00E41BC7">
      <w:pPr>
        <w:rPr>
          <w:i/>
          <w:iCs/>
          <w:color w:val="000000" w:themeColor="text1"/>
          <w:lang w:val="vi-VN"/>
        </w:rPr>
      </w:pPr>
    </w:p>
    <w:p w14:paraId="65EA037A" w14:textId="5D943FD4" w:rsidR="00E41BC7" w:rsidRDefault="00E41BC7">
      <w:pPr>
        <w:rPr>
          <w:i/>
          <w:iCs/>
          <w:color w:val="000000" w:themeColor="text1"/>
          <w:lang w:val="vi-VN"/>
        </w:rPr>
      </w:pPr>
    </w:p>
    <w:p w14:paraId="1B61800F" w14:textId="067A8357" w:rsidR="00E41BC7" w:rsidRDefault="00E41BC7">
      <w:pPr>
        <w:rPr>
          <w:i/>
          <w:iCs/>
          <w:color w:val="000000" w:themeColor="text1"/>
          <w:lang w:val="vi-VN"/>
        </w:rPr>
      </w:pPr>
    </w:p>
    <w:p w14:paraId="46CA36D5" w14:textId="737A9ABF" w:rsidR="00DB07CD" w:rsidRDefault="00DB07CD">
      <w:pPr>
        <w:rPr>
          <w:i/>
          <w:iCs/>
          <w:color w:val="000000" w:themeColor="text1"/>
          <w:lang w:val="vi-VN"/>
        </w:rPr>
      </w:pPr>
    </w:p>
    <w:p w14:paraId="418F87EC" w14:textId="3A5E505C" w:rsidR="00DB07CD" w:rsidRDefault="00DB07CD">
      <w:pPr>
        <w:rPr>
          <w:i/>
          <w:iCs/>
          <w:color w:val="000000" w:themeColor="text1"/>
          <w:lang w:val="vi-VN"/>
        </w:rPr>
      </w:pPr>
    </w:p>
    <w:p w14:paraId="4F3DBB47" w14:textId="0E46752D" w:rsidR="00DB07CD" w:rsidRDefault="00DB07CD">
      <w:pPr>
        <w:rPr>
          <w:i/>
          <w:iCs/>
          <w:color w:val="000000" w:themeColor="text1"/>
          <w:lang w:val="vi-VN"/>
        </w:rPr>
      </w:pPr>
    </w:p>
    <w:p w14:paraId="400A05C8" w14:textId="5B8C999A" w:rsidR="00DB07CD" w:rsidRDefault="00DB07CD">
      <w:pPr>
        <w:rPr>
          <w:i/>
          <w:iCs/>
          <w:color w:val="000000" w:themeColor="text1"/>
          <w:lang w:val="vi-VN"/>
        </w:rPr>
      </w:pPr>
    </w:p>
    <w:p w14:paraId="3BEDA1E1" w14:textId="0444B808" w:rsidR="00DB07CD" w:rsidRDefault="00DB07CD">
      <w:pPr>
        <w:rPr>
          <w:i/>
          <w:iCs/>
          <w:color w:val="000000" w:themeColor="text1"/>
          <w:lang w:val="vi-VN"/>
        </w:rPr>
      </w:pPr>
    </w:p>
    <w:p w14:paraId="5A0162EF" w14:textId="504780DF" w:rsidR="00DB07CD" w:rsidRDefault="00DB07CD">
      <w:pPr>
        <w:rPr>
          <w:i/>
          <w:iCs/>
          <w:color w:val="000000" w:themeColor="text1"/>
          <w:lang w:val="vi-VN"/>
        </w:rPr>
      </w:pPr>
    </w:p>
    <w:p w14:paraId="02AFA2EE" w14:textId="0D035466" w:rsidR="00E41BC7" w:rsidRDefault="00E20728">
      <w:pPr>
        <w:rPr>
          <w:i/>
          <w:iCs/>
          <w:color w:val="000000" w:themeColor="text1"/>
          <w:lang w:val="vi-VN"/>
        </w:rPr>
      </w:pPr>
      <w:r w:rsidRPr="00C411F0">
        <w:rPr>
          <w:noProof/>
          <w:color w:val="000000" w:themeColor="text1"/>
        </w:rPr>
        <w:drawing>
          <wp:anchor distT="0" distB="0" distL="114300" distR="114300" simplePos="0" relativeHeight="251663360" behindDoc="0" locked="0" layoutInCell="1" allowOverlap="1" wp14:anchorId="54356FDE" wp14:editId="38CEA45F">
            <wp:simplePos x="0" y="0"/>
            <wp:positionH relativeFrom="column">
              <wp:posOffset>799465</wp:posOffset>
            </wp:positionH>
            <wp:positionV relativeFrom="paragraph">
              <wp:posOffset>67310</wp:posOffset>
            </wp:positionV>
            <wp:extent cx="4618355" cy="3200400"/>
            <wp:effectExtent l="0" t="0" r="0" b="0"/>
            <wp:wrapNone/>
            <wp:docPr id="7" name="Chart 7">
              <a:extLst xmlns:a="http://schemas.openxmlformats.org/drawingml/2006/main">
                <a:ext uri="{FF2B5EF4-FFF2-40B4-BE49-F238E27FC236}">
                  <a16:creationId xmlns:a16="http://schemas.microsoft.com/office/drawing/2014/main" id="{446F94D6-DE02-E17E-8088-38FEE5A96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D5BAC02" w14:textId="653DC033" w:rsidR="00E41BC7" w:rsidRDefault="00E41BC7">
      <w:pPr>
        <w:rPr>
          <w:i/>
          <w:iCs/>
          <w:color w:val="000000" w:themeColor="text1"/>
          <w:lang w:val="vi-VN"/>
        </w:rPr>
      </w:pPr>
    </w:p>
    <w:p w14:paraId="55ACE208" w14:textId="646840D2" w:rsidR="00E41BC7" w:rsidRDefault="00E41BC7">
      <w:pPr>
        <w:rPr>
          <w:i/>
          <w:iCs/>
          <w:color w:val="000000" w:themeColor="text1"/>
          <w:lang w:val="vi-VN"/>
        </w:rPr>
      </w:pPr>
    </w:p>
    <w:p w14:paraId="0E8B920E" w14:textId="1B6EEDCB" w:rsidR="00E41BC7" w:rsidRDefault="00E41BC7">
      <w:pPr>
        <w:rPr>
          <w:i/>
          <w:iCs/>
          <w:color w:val="000000" w:themeColor="text1"/>
          <w:lang w:val="vi-VN"/>
        </w:rPr>
      </w:pPr>
    </w:p>
    <w:p w14:paraId="09A53BE6" w14:textId="22F78E0B" w:rsidR="00E41BC7" w:rsidRDefault="00E41BC7">
      <w:pPr>
        <w:rPr>
          <w:i/>
          <w:iCs/>
          <w:color w:val="000000" w:themeColor="text1"/>
          <w:lang w:val="vi-VN"/>
        </w:rPr>
      </w:pPr>
    </w:p>
    <w:p w14:paraId="0E110B46" w14:textId="3EEA36A6" w:rsidR="00E41BC7" w:rsidRDefault="00E41BC7">
      <w:pPr>
        <w:rPr>
          <w:i/>
          <w:iCs/>
          <w:color w:val="000000" w:themeColor="text1"/>
          <w:lang w:val="vi-VN"/>
        </w:rPr>
      </w:pPr>
    </w:p>
    <w:p w14:paraId="3A3F5D50" w14:textId="2BEBAC31" w:rsidR="00E41BC7" w:rsidRDefault="00E41BC7">
      <w:pPr>
        <w:rPr>
          <w:i/>
          <w:iCs/>
          <w:color w:val="000000" w:themeColor="text1"/>
          <w:lang w:val="vi-VN"/>
        </w:rPr>
      </w:pPr>
    </w:p>
    <w:p w14:paraId="0B399D62" w14:textId="3C577A50" w:rsidR="00E41BC7" w:rsidRDefault="00E41BC7">
      <w:pPr>
        <w:rPr>
          <w:i/>
          <w:iCs/>
          <w:color w:val="000000" w:themeColor="text1"/>
          <w:lang w:val="vi-VN"/>
        </w:rPr>
      </w:pPr>
    </w:p>
    <w:p w14:paraId="02FC345F" w14:textId="2071C3CE" w:rsidR="00E41BC7" w:rsidRDefault="00E41BC7">
      <w:pPr>
        <w:rPr>
          <w:i/>
          <w:iCs/>
          <w:color w:val="000000" w:themeColor="text1"/>
          <w:lang w:val="vi-VN"/>
        </w:rPr>
      </w:pPr>
    </w:p>
    <w:p w14:paraId="47717E85" w14:textId="680F8623" w:rsidR="00E41BC7" w:rsidRDefault="00E41BC7">
      <w:pPr>
        <w:rPr>
          <w:i/>
          <w:iCs/>
          <w:color w:val="000000" w:themeColor="text1"/>
          <w:lang w:val="vi-VN"/>
        </w:rPr>
      </w:pPr>
    </w:p>
    <w:p w14:paraId="3699D40B" w14:textId="46686FFB" w:rsidR="00E41BC7" w:rsidRDefault="00E41BC7">
      <w:pPr>
        <w:rPr>
          <w:i/>
          <w:iCs/>
          <w:color w:val="000000" w:themeColor="text1"/>
          <w:lang w:val="vi-VN"/>
        </w:rPr>
      </w:pPr>
    </w:p>
    <w:p w14:paraId="2F9CBCB0" w14:textId="2AFF70E0" w:rsidR="00E41BC7" w:rsidRDefault="00E41BC7">
      <w:pPr>
        <w:rPr>
          <w:i/>
          <w:iCs/>
          <w:color w:val="000000" w:themeColor="text1"/>
          <w:lang w:val="vi-VN"/>
        </w:rPr>
      </w:pPr>
    </w:p>
    <w:p w14:paraId="2499F90C" w14:textId="41F419A0" w:rsidR="00E41BC7" w:rsidRDefault="00E41BC7">
      <w:pPr>
        <w:rPr>
          <w:i/>
          <w:iCs/>
          <w:color w:val="000000" w:themeColor="text1"/>
          <w:lang w:val="vi-VN"/>
        </w:rPr>
      </w:pPr>
    </w:p>
    <w:p w14:paraId="4C87E7EA" w14:textId="14D8DF37" w:rsidR="00E41BC7" w:rsidRDefault="00E41BC7">
      <w:pPr>
        <w:rPr>
          <w:i/>
          <w:iCs/>
          <w:color w:val="000000" w:themeColor="text1"/>
          <w:lang w:val="vi-VN"/>
        </w:rPr>
      </w:pPr>
    </w:p>
    <w:p w14:paraId="3394D613" w14:textId="723D0EB1" w:rsidR="00E41BC7" w:rsidRDefault="00E41BC7">
      <w:pPr>
        <w:rPr>
          <w:i/>
          <w:iCs/>
          <w:color w:val="000000" w:themeColor="text1"/>
          <w:lang w:val="vi-VN"/>
        </w:rPr>
      </w:pPr>
      <w:r w:rsidRPr="00C411F0">
        <w:rPr>
          <w:i/>
          <w:iCs/>
          <w:noProof/>
          <w:color w:val="000000" w:themeColor="text1"/>
        </w:rPr>
        <w:lastRenderedPageBreak/>
        <mc:AlternateContent>
          <mc:Choice Requires="wps">
            <w:drawing>
              <wp:anchor distT="0" distB="0" distL="114300" distR="114300" simplePos="0" relativeHeight="251668480" behindDoc="0" locked="0" layoutInCell="1" allowOverlap="1" wp14:anchorId="5172227D" wp14:editId="2E3AADFE">
                <wp:simplePos x="0" y="0"/>
                <wp:positionH relativeFrom="column">
                  <wp:posOffset>320040</wp:posOffset>
                </wp:positionH>
                <wp:positionV relativeFrom="paragraph">
                  <wp:posOffset>177800</wp:posOffset>
                </wp:positionV>
                <wp:extent cx="5367020" cy="1938020"/>
                <wp:effectExtent l="0" t="0" r="17780" b="17780"/>
                <wp:wrapNone/>
                <wp:docPr id="2" name="Text Box 2"/>
                <wp:cNvGraphicFramePr/>
                <a:graphic xmlns:a="http://schemas.openxmlformats.org/drawingml/2006/main">
                  <a:graphicData uri="http://schemas.microsoft.com/office/word/2010/wordprocessingShape">
                    <wps:wsp>
                      <wps:cNvSpPr txBox="1"/>
                      <wps:spPr>
                        <a:xfrm>
                          <a:off x="0" y="0"/>
                          <a:ext cx="5367020" cy="1938020"/>
                        </a:xfrm>
                        <a:prstGeom prst="rect">
                          <a:avLst/>
                        </a:prstGeom>
                        <a:solidFill>
                          <a:schemeClr val="bg1">
                            <a:lumMod val="95000"/>
                          </a:schemeClr>
                        </a:solidFill>
                        <a:ln w="6350">
                          <a:solidFill>
                            <a:prstClr val="black"/>
                          </a:solidFill>
                        </a:ln>
                      </wps:spPr>
                      <wps:txbx>
                        <w:txbxContent>
                          <w:p w14:paraId="251E7286" w14:textId="7B1B46A8"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Các đồ thị trên biểu diễn tương quan tác động tích cực, tiêu cực giữa các phương án đề xuất đối với 05 khía cạnh theo quy định (với điểm số đánh giá đã trình bày trên Bảng 1). </w:t>
                            </w:r>
                          </w:p>
                          <w:p w14:paraId="1C1C36BB" w14:textId="1596393F"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tích cực: giá trị nhỏ nhất (bằng 0) ứng với việc không có tác động; giá trị càng lớn ứng với tác động tích cực/lợi ích càng cao; phương án ứng với đường biểu diễn nằm ngoài cùng là phương án có lợi ích cao nhất. </w:t>
                            </w:r>
                          </w:p>
                          <w:p w14:paraId="016C5251" w14:textId="076743A6"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tiêu cực: giá trị biên (bằng 0) ứng với việc không có tác động; giá trị càng âm đồng nghĩa với tác động tiêu cực/chi phí càng cao; phương án ứng với đường biểu diễn nằm ngoài cùng là phương án có tác động tiêu cực nhỏ nhất. </w:t>
                            </w:r>
                          </w:p>
                          <w:p w14:paraId="435180F0" w14:textId="77777777" w:rsidR="00EF0061" w:rsidRPr="009605FD" w:rsidRDefault="00EF0061">
                            <w:pPr>
                              <w:rPr>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2227D" id="_x0000_t202" coordsize="21600,21600" o:spt="202" path="m,l,21600r21600,l21600,xe">
                <v:stroke joinstyle="miter"/>
                <v:path gradientshapeok="t" o:connecttype="rect"/>
              </v:shapetype>
              <v:shape id="Text Box 2" o:spid="_x0000_s1026" type="#_x0000_t202" style="position:absolute;margin-left:25.2pt;margin-top:14pt;width:422.6pt;height:15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" fillcolor="#f2f2f2 [3052]" strokeweight=".5pt">
                <v:textbox>
                  <w:txbxContent>
                    <w:p w14:paraId="251E7286" w14:textId="7B1B46A8"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Các đồ thị trên biểu diễn tương quan tác động tích cực, tiêu cực giữa các phương án đề xuất đối với 05 khía cạnh theo quy định (với điểm số đánh giá đã trình bày trên Bảng 1). </w:t>
                      </w:r>
                    </w:p>
                    <w:p w14:paraId="1C1C36BB" w14:textId="1596393F"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tích cực: giá trị nhỏ nhất (bằng 0) ứng với việc không có tác động; giá trị càng lớn ứng với tác động tích cực/lợi ích càng cao; phương án ứng với đường biểu diễn nằm ngoài cùng là phương án có lợi ích cao nhất. </w:t>
                      </w:r>
                    </w:p>
                    <w:p w14:paraId="016C5251" w14:textId="076743A6" w:rsidR="00EF0061" w:rsidRPr="007C3B35" w:rsidRDefault="00EF0061" w:rsidP="008259EE">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tiêu cực: giá trị biên (bằng 0) ứng với việc không có tác động; giá trị càng âm đồng nghĩa với tác động tiêu cực/chi phí càng cao; phương án ứng với đường biểu diễn nằm ngoài cùng là phương án có tác động tiêu cực nhỏ nhất. </w:t>
                      </w:r>
                    </w:p>
                    <w:p w14:paraId="435180F0" w14:textId="77777777" w:rsidR="00EF0061" w:rsidRPr="009605FD" w:rsidRDefault="00EF0061">
                      <w:pPr>
                        <w:rPr>
                          <w:sz w:val="24"/>
                          <w:szCs w:val="24"/>
                          <w:lang w:val="vi-VN"/>
                        </w:rPr>
                      </w:pPr>
                    </w:p>
                  </w:txbxContent>
                </v:textbox>
              </v:shape>
            </w:pict>
          </mc:Fallback>
        </mc:AlternateContent>
      </w:r>
    </w:p>
    <w:p w14:paraId="512B6ECC" w14:textId="6C902DE1" w:rsidR="00E41BC7" w:rsidRDefault="00E41BC7">
      <w:pPr>
        <w:rPr>
          <w:i/>
          <w:iCs/>
          <w:color w:val="000000" w:themeColor="text1"/>
          <w:lang w:val="vi-VN"/>
        </w:rPr>
      </w:pPr>
    </w:p>
    <w:p w14:paraId="791CB645" w14:textId="5D897052" w:rsidR="00E41BC7" w:rsidRDefault="00E41BC7">
      <w:pPr>
        <w:rPr>
          <w:i/>
          <w:iCs/>
          <w:color w:val="000000" w:themeColor="text1"/>
          <w:lang w:val="vi-VN"/>
        </w:rPr>
      </w:pPr>
    </w:p>
    <w:p w14:paraId="7CA6F258" w14:textId="2BAC2423" w:rsidR="00E41BC7" w:rsidRDefault="00E41BC7">
      <w:pPr>
        <w:rPr>
          <w:i/>
          <w:iCs/>
          <w:color w:val="000000" w:themeColor="text1"/>
          <w:lang w:val="vi-VN"/>
        </w:rPr>
      </w:pPr>
    </w:p>
    <w:p w14:paraId="05F32A76" w14:textId="5CB098E1" w:rsidR="00E41BC7" w:rsidRDefault="00E41BC7">
      <w:pPr>
        <w:rPr>
          <w:i/>
          <w:iCs/>
          <w:color w:val="000000" w:themeColor="text1"/>
          <w:lang w:val="vi-VN"/>
        </w:rPr>
      </w:pPr>
    </w:p>
    <w:p w14:paraId="7DE5C96D" w14:textId="736D44B1" w:rsidR="00E41BC7" w:rsidRDefault="00E41BC7">
      <w:pPr>
        <w:rPr>
          <w:i/>
          <w:iCs/>
          <w:color w:val="000000" w:themeColor="text1"/>
          <w:lang w:val="vi-VN"/>
        </w:rPr>
      </w:pPr>
    </w:p>
    <w:p w14:paraId="41F1424C" w14:textId="5F892B29" w:rsidR="00E41BC7" w:rsidRDefault="00E41BC7">
      <w:pPr>
        <w:rPr>
          <w:i/>
          <w:iCs/>
          <w:color w:val="000000" w:themeColor="text1"/>
          <w:lang w:val="vi-VN"/>
        </w:rPr>
      </w:pPr>
    </w:p>
    <w:p w14:paraId="2C499DA9" w14:textId="1F32271A" w:rsidR="00E41BC7" w:rsidRDefault="00E41BC7">
      <w:pPr>
        <w:rPr>
          <w:i/>
          <w:iCs/>
          <w:color w:val="000000" w:themeColor="text1"/>
          <w:lang w:val="vi-VN"/>
        </w:rPr>
      </w:pPr>
    </w:p>
    <w:p w14:paraId="6212C797" w14:textId="057FE013" w:rsidR="00E41BC7" w:rsidRDefault="00E41BC7">
      <w:pPr>
        <w:rPr>
          <w:i/>
          <w:iCs/>
          <w:color w:val="000000" w:themeColor="text1"/>
          <w:lang w:val="vi-VN"/>
        </w:rPr>
      </w:pPr>
    </w:p>
    <w:p w14:paraId="15C3E1D1" w14:textId="09A2A65F" w:rsidR="00E41BC7" w:rsidRDefault="00E41BC7">
      <w:pPr>
        <w:rPr>
          <w:i/>
          <w:iCs/>
          <w:color w:val="000000" w:themeColor="text1"/>
          <w:lang w:val="vi-VN"/>
        </w:rPr>
      </w:pPr>
    </w:p>
    <w:p w14:paraId="4A4A520F" w14:textId="52555CD7" w:rsidR="008259EE" w:rsidRPr="00C411F0" w:rsidRDefault="00EA328A" w:rsidP="00A41810">
      <w:pPr>
        <w:widowControl w:val="0"/>
        <w:tabs>
          <w:tab w:val="right" w:leader="dot" w:pos="7920"/>
        </w:tabs>
        <w:spacing w:before="240" w:after="120"/>
        <w:ind w:firstLine="454"/>
        <w:jc w:val="center"/>
        <w:rPr>
          <w:i/>
          <w:iCs/>
          <w:color w:val="000000" w:themeColor="text1"/>
          <w:lang w:val="vi-VN"/>
        </w:rPr>
      </w:pPr>
      <w:r w:rsidRPr="00C411F0">
        <w:rPr>
          <w:i/>
          <w:iCs/>
          <w:color w:val="000000" w:themeColor="text1"/>
          <w:lang w:val="vi-VN"/>
        </w:rPr>
        <w:t>Hình 4. So sánh tác động tích cực và tiêu cực giữa 02 phương án</w:t>
      </w:r>
    </w:p>
    <w:p w14:paraId="4743DF26" w14:textId="74F8F23B" w:rsidR="00980511" w:rsidRPr="007054F5" w:rsidRDefault="00980511" w:rsidP="00980511">
      <w:pPr>
        <w:widowControl w:val="0"/>
        <w:tabs>
          <w:tab w:val="right" w:leader="dot" w:pos="7920"/>
        </w:tabs>
        <w:spacing w:before="120" w:after="120" w:line="376" w:lineRule="exact"/>
        <w:ind w:firstLine="454"/>
        <w:jc w:val="both"/>
        <w:rPr>
          <w:i/>
          <w:iCs/>
          <w:color w:val="000000" w:themeColor="text1"/>
          <w:spacing w:val="-2"/>
          <w:lang w:val="vi-VN"/>
        </w:rPr>
      </w:pPr>
      <w:r w:rsidRPr="007054F5">
        <w:rPr>
          <w:i/>
          <w:iCs/>
          <w:color w:val="000000" w:themeColor="text1"/>
          <w:spacing w:val="-2"/>
          <w:lang w:val="vi-VN"/>
        </w:rPr>
        <w:t xml:space="preserve">Với </w:t>
      </w:r>
      <w:r w:rsidR="00AD12B2" w:rsidRPr="007054F5">
        <w:rPr>
          <w:i/>
          <w:iCs/>
          <w:color w:val="000000" w:themeColor="text1"/>
          <w:spacing w:val="-2"/>
          <w:lang w:val="vi-VN"/>
        </w:rPr>
        <w:t xml:space="preserve">các </w:t>
      </w:r>
      <w:r w:rsidR="005413A4" w:rsidRPr="007054F5">
        <w:rPr>
          <w:i/>
          <w:iCs/>
          <w:color w:val="000000" w:themeColor="text1"/>
          <w:spacing w:val="-2"/>
          <w:lang w:val="vi-VN"/>
        </w:rPr>
        <w:t>kết quả</w:t>
      </w:r>
      <w:r w:rsidR="00AD12B2" w:rsidRPr="007054F5">
        <w:rPr>
          <w:i/>
          <w:iCs/>
          <w:color w:val="000000" w:themeColor="text1"/>
          <w:spacing w:val="-2"/>
          <w:lang w:val="vi-VN"/>
        </w:rPr>
        <w:t xml:space="preserve"> phân tích, đánh giá và</w:t>
      </w:r>
      <w:r w:rsidR="005413A4" w:rsidRPr="007054F5">
        <w:rPr>
          <w:i/>
          <w:iCs/>
          <w:color w:val="000000" w:themeColor="text1"/>
          <w:spacing w:val="-2"/>
          <w:lang w:val="vi-VN"/>
        </w:rPr>
        <w:t xml:space="preserve"> so sánh </w:t>
      </w:r>
      <w:r w:rsidR="00AD12B2" w:rsidRPr="007054F5">
        <w:rPr>
          <w:i/>
          <w:iCs/>
          <w:color w:val="000000" w:themeColor="text1"/>
          <w:spacing w:val="-2"/>
          <w:lang w:val="vi-VN"/>
        </w:rPr>
        <w:t xml:space="preserve">như </w:t>
      </w:r>
      <w:r w:rsidR="005413A4" w:rsidRPr="007054F5">
        <w:rPr>
          <w:i/>
          <w:iCs/>
          <w:color w:val="000000" w:themeColor="text1"/>
          <w:spacing w:val="-2"/>
          <w:lang w:val="vi-VN"/>
        </w:rPr>
        <w:t xml:space="preserve">trên, Bộ Tài nguyên và Môi trường kiến nghị lựa chọn </w:t>
      </w:r>
      <w:r w:rsidR="00D316B4" w:rsidRPr="007054F5">
        <w:rPr>
          <w:i/>
          <w:iCs/>
          <w:color w:val="000000" w:themeColor="text1"/>
          <w:spacing w:val="-2"/>
          <w:lang w:val="vi-VN"/>
        </w:rPr>
        <w:t xml:space="preserve">quy định theo </w:t>
      </w:r>
      <w:r w:rsidR="005413A4" w:rsidRPr="007054F5">
        <w:rPr>
          <w:i/>
          <w:iCs/>
          <w:color w:val="000000" w:themeColor="text1"/>
          <w:spacing w:val="-2"/>
          <w:lang w:val="vi-VN"/>
        </w:rPr>
        <w:t xml:space="preserve">Phương án </w:t>
      </w:r>
      <w:r w:rsidR="00AD12B2" w:rsidRPr="007054F5">
        <w:rPr>
          <w:i/>
          <w:iCs/>
          <w:color w:val="000000" w:themeColor="text1"/>
          <w:spacing w:val="-2"/>
          <w:lang w:val="vi-VN"/>
        </w:rPr>
        <w:t>1</w:t>
      </w:r>
      <w:r w:rsidR="005413A4" w:rsidRPr="007054F5">
        <w:rPr>
          <w:i/>
          <w:iCs/>
          <w:color w:val="000000" w:themeColor="text1"/>
          <w:spacing w:val="-2"/>
          <w:lang w:val="vi-VN"/>
        </w:rPr>
        <w:t xml:space="preserve"> </w:t>
      </w:r>
      <w:r w:rsidR="00A1012B" w:rsidRPr="007054F5">
        <w:rPr>
          <w:i/>
          <w:iCs/>
          <w:color w:val="000000" w:themeColor="text1"/>
          <w:spacing w:val="-2"/>
          <w:lang w:val="vi-VN"/>
        </w:rPr>
        <w:t xml:space="preserve">– như Dự thảo Quyết định do những ưu thế vượt trội về tác động kinh tế, xã hội và tốt hơn cho môi trường. </w:t>
      </w:r>
    </w:p>
    <w:p w14:paraId="795BDD7A" w14:textId="0D71C4B6" w:rsidR="00347EF0" w:rsidRPr="00C411F0" w:rsidRDefault="00347EF0" w:rsidP="00A41810">
      <w:pPr>
        <w:widowControl w:val="0"/>
        <w:tabs>
          <w:tab w:val="right" w:leader="dot" w:pos="7920"/>
        </w:tabs>
        <w:spacing w:before="240" w:line="380" w:lineRule="exact"/>
        <w:ind w:firstLine="454"/>
        <w:jc w:val="both"/>
        <w:rPr>
          <w:b/>
          <w:color w:val="000000" w:themeColor="text1"/>
          <w:lang w:val="vi-VN"/>
        </w:rPr>
      </w:pPr>
      <w:r w:rsidRPr="009605FD">
        <w:rPr>
          <w:b/>
          <w:color w:val="000000" w:themeColor="text1"/>
          <w:lang w:val="vi-VN"/>
        </w:rPr>
        <w:t>2. Chính sách 2:</w:t>
      </w:r>
      <w:r w:rsidR="00DF7101" w:rsidRPr="00C411F0">
        <w:rPr>
          <w:b/>
          <w:color w:val="000000" w:themeColor="text1"/>
          <w:lang w:val="vi-VN"/>
        </w:rPr>
        <w:t xml:space="preserve"> Xác nhận dự án</w:t>
      </w:r>
      <w:r w:rsidR="004F5B82">
        <w:rPr>
          <w:b/>
          <w:color w:val="000000" w:themeColor="text1"/>
          <w:lang w:val="vi-VN"/>
        </w:rPr>
        <w:t xml:space="preserve"> đầu tư</w:t>
      </w:r>
      <w:r w:rsidR="00DF7101" w:rsidRPr="00C411F0">
        <w:rPr>
          <w:b/>
          <w:color w:val="000000" w:themeColor="text1"/>
          <w:lang w:val="vi-VN"/>
        </w:rPr>
        <w:t xml:space="preserve"> thuộc Danh mục phân loại xanh</w:t>
      </w:r>
    </w:p>
    <w:p w14:paraId="58BDB5C8" w14:textId="4631B719" w:rsidR="009E53F8" w:rsidRPr="00C411F0" w:rsidRDefault="00347EF0" w:rsidP="00347EF0">
      <w:pPr>
        <w:widowControl w:val="0"/>
        <w:tabs>
          <w:tab w:val="right" w:leader="dot" w:pos="7920"/>
        </w:tabs>
        <w:spacing w:before="80" w:line="380" w:lineRule="exact"/>
        <w:ind w:firstLine="454"/>
        <w:jc w:val="both"/>
        <w:rPr>
          <w:i/>
          <w:iCs/>
          <w:color w:val="000000" w:themeColor="text1"/>
          <w:lang w:val="vi-VN"/>
        </w:rPr>
      </w:pPr>
      <w:r w:rsidRPr="009605FD">
        <w:rPr>
          <w:b/>
          <w:bCs/>
          <w:i/>
          <w:iCs/>
          <w:color w:val="000000" w:themeColor="text1"/>
          <w:lang w:val="vi-VN"/>
        </w:rPr>
        <w:t>2.1. Xác định vấn đề bất cập</w:t>
      </w:r>
      <w:r w:rsidR="00DF7101" w:rsidRPr="00C411F0">
        <w:rPr>
          <w:color w:val="000000" w:themeColor="text1"/>
          <w:lang w:val="vi-VN"/>
        </w:rPr>
        <w:t xml:space="preserve"> </w:t>
      </w:r>
    </w:p>
    <w:p w14:paraId="1D3A2C1E" w14:textId="5381D755" w:rsidR="009E53F8" w:rsidRPr="00C411F0" w:rsidRDefault="000044B2" w:rsidP="000044B2">
      <w:pPr>
        <w:widowControl w:val="0"/>
        <w:spacing w:before="120" w:line="340" w:lineRule="exact"/>
        <w:ind w:firstLine="720"/>
        <w:jc w:val="both"/>
        <w:rPr>
          <w:color w:val="000000" w:themeColor="text1"/>
          <w:lang w:val="vi-VN"/>
        </w:rPr>
      </w:pPr>
      <w:r w:rsidRPr="00C411F0">
        <w:rPr>
          <w:color w:val="000000" w:themeColor="text1"/>
          <w:lang w:val="vi-VN"/>
        </w:rPr>
        <w:t xml:space="preserve">Khoản 3 Điều 154 Nghị định </w:t>
      </w:r>
      <w:r w:rsidR="008B7AE3" w:rsidRPr="009605FD">
        <w:rPr>
          <w:color w:val="000000" w:themeColor="text1"/>
          <w:lang w:val="vi-VN"/>
        </w:rPr>
        <w:t xml:space="preserve">số </w:t>
      </w:r>
      <w:r w:rsidRPr="00C411F0">
        <w:rPr>
          <w:color w:val="000000" w:themeColor="text1"/>
          <w:lang w:val="vi-VN"/>
        </w:rPr>
        <w:t>08/2022/NĐ-CP quy định “Việc xác nhận dự án thuộc danh mục phân loại xanh theo quy định tại khoản 2 Điều này được thực hiện theo đề nghị của chủ dự án đầu tư, chủ thể phát hành trái phiếu xanh có nhu cầu xác nhận để được hưởng chính sách ưu đãi, hỗ trợ của nhà nước về tín dụng xanh, trái phiếu xanh theo quy định tại Nghị định này.”</w:t>
      </w:r>
    </w:p>
    <w:p w14:paraId="4428E68E" w14:textId="6B4E3FF6" w:rsidR="00BE7242" w:rsidRPr="00C411F0" w:rsidRDefault="00BE7242" w:rsidP="00BE7242">
      <w:pPr>
        <w:widowControl w:val="0"/>
        <w:spacing w:before="120" w:line="340" w:lineRule="exact"/>
        <w:ind w:firstLine="720"/>
        <w:jc w:val="both"/>
        <w:rPr>
          <w:color w:val="000000" w:themeColor="text1"/>
          <w:lang w:val="vi-VN"/>
        </w:rPr>
      </w:pPr>
      <w:r w:rsidRPr="00C411F0">
        <w:rPr>
          <w:color w:val="000000" w:themeColor="text1"/>
          <w:lang w:val="vi-VN"/>
        </w:rPr>
        <w:t xml:space="preserve">Đối với tín dụng xanh, khoản 5 Điều 133 của Nghị định </w:t>
      </w:r>
      <w:r w:rsidR="008B7AE3" w:rsidRPr="009605FD">
        <w:rPr>
          <w:color w:val="000000" w:themeColor="text1"/>
          <w:lang w:val="vi-VN"/>
        </w:rPr>
        <w:t xml:space="preserve">số </w:t>
      </w:r>
      <w:r w:rsidRPr="00C411F0">
        <w:rPr>
          <w:color w:val="000000" w:themeColor="text1"/>
          <w:lang w:val="vi-VN"/>
        </w:rPr>
        <w:t>08/2022/NĐ-CP quy định “Ngân sách nhà nước hỗ trợ lãi suất trực tiếp cho dự án được cấp tín dụng xanh tại tổ chức tín dụng, chi nhánh ngân hàng nước ngoài Việt Nam. Chủ đầu tư cung cấp đầy đủ hồ sơ chứng minh dự án và chịu trách nhiệm trước pháp luật về tính hiệu quả, chính xác về đối tượng được hưởng hỗ trợ lãi suất.”</w:t>
      </w:r>
    </w:p>
    <w:p w14:paraId="6716EB65" w14:textId="3B0AD5A0" w:rsidR="0011120E" w:rsidRPr="00C411F0" w:rsidRDefault="00F2788D" w:rsidP="00F2788D">
      <w:pPr>
        <w:widowControl w:val="0"/>
        <w:spacing w:before="120" w:line="340" w:lineRule="exact"/>
        <w:ind w:firstLine="720"/>
        <w:jc w:val="both"/>
        <w:rPr>
          <w:color w:val="000000" w:themeColor="text1"/>
          <w:lang w:val="vi-VN"/>
        </w:rPr>
      </w:pPr>
      <w:r w:rsidRPr="00C411F0">
        <w:rPr>
          <w:color w:val="000000" w:themeColor="text1"/>
          <w:lang w:val="vi-VN"/>
        </w:rPr>
        <w:t xml:space="preserve">Đối với trái phiếu xanh, khoản 8 Điều 157 của Nghị định </w:t>
      </w:r>
      <w:r w:rsidR="008B7AE3" w:rsidRPr="009605FD">
        <w:rPr>
          <w:color w:val="000000" w:themeColor="text1"/>
          <w:lang w:val="vi-VN"/>
        </w:rPr>
        <w:t xml:space="preserve">số </w:t>
      </w:r>
      <w:r w:rsidRPr="00C411F0">
        <w:rPr>
          <w:color w:val="000000" w:themeColor="text1"/>
          <w:lang w:val="vi-VN"/>
        </w:rPr>
        <w:t xml:space="preserve">08/2022/NĐ-CP quy định “Chủ thể phát hành trái phiếu xanh, nhà đầu tư trái phiếu xanh được hưởng các chính sách ưu đãi sau: a) Được hưởng các ưu đãi giá dịch vụ theo quy định của pháp luật về giá dịch vụ trong lĩnh vực chứng khoán và chính sách hỗ trợ, ưu đãi khác theo quy định của pháp luật; b) Dự án đầu tư công sử dụng nguồn vốn từ phát hành trái phiếu xanh do Chính phủ, chính quyền địa phương phát hành được ưu tiên bố trí đủ vốn theo tiến độ thực hiện dự án trong kế hoạch đầu tư công trung hạn và hàng năm.”. </w:t>
      </w:r>
    </w:p>
    <w:p w14:paraId="3B6443B3" w14:textId="02F7EAE3" w:rsidR="0011120E" w:rsidRPr="00C411F0" w:rsidRDefault="00F2788D" w:rsidP="0011120E">
      <w:pPr>
        <w:widowControl w:val="0"/>
        <w:spacing w:before="120" w:line="340" w:lineRule="exact"/>
        <w:ind w:firstLine="720"/>
        <w:jc w:val="both"/>
        <w:rPr>
          <w:color w:val="000000" w:themeColor="text1"/>
          <w:lang w:val="vi-VN"/>
        </w:rPr>
      </w:pPr>
      <w:r w:rsidRPr="00C411F0">
        <w:rPr>
          <w:color w:val="000000" w:themeColor="text1"/>
          <w:lang w:val="vi-VN"/>
        </w:rPr>
        <w:t xml:space="preserve">Theo quy định </w:t>
      </w:r>
      <w:r w:rsidR="0011120E" w:rsidRPr="00C411F0">
        <w:rPr>
          <w:color w:val="000000" w:themeColor="text1"/>
          <w:lang w:val="vi-VN"/>
        </w:rPr>
        <w:t xml:space="preserve">pháp luật </w:t>
      </w:r>
      <w:r w:rsidRPr="00C411F0">
        <w:rPr>
          <w:color w:val="000000" w:themeColor="text1"/>
          <w:lang w:val="vi-VN"/>
        </w:rPr>
        <w:t>hiện hành</w:t>
      </w:r>
      <w:r w:rsidR="0011120E" w:rsidRPr="00C411F0">
        <w:rPr>
          <w:color w:val="000000" w:themeColor="text1"/>
          <w:lang w:val="vi-VN"/>
        </w:rPr>
        <w:t xml:space="preserve"> trong lĩnh vực tài chính, chủ thể phát hành và nhà đầu tư tr</w:t>
      </w:r>
      <w:r w:rsidR="00FA0629" w:rsidRPr="00C411F0">
        <w:rPr>
          <w:color w:val="000000" w:themeColor="text1"/>
          <w:lang w:val="vi-VN"/>
        </w:rPr>
        <w:t>ái</w:t>
      </w:r>
      <w:r w:rsidR="0011120E" w:rsidRPr="00C411F0">
        <w:rPr>
          <w:color w:val="000000" w:themeColor="text1"/>
          <w:lang w:val="vi-VN"/>
        </w:rPr>
        <w:t xml:space="preserve"> phiếu xanh được hưởng các ưu đãi, hỗ trợ như sau:</w:t>
      </w:r>
    </w:p>
    <w:p w14:paraId="2E2E8E91" w14:textId="5A12E2E0" w:rsidR="0011120E" w:rsidRPr="00C411F0" w:rsidRDefault="0011120E" w:rsidP="0011120E">
      <w:pPr>
        <w:widowControl w:val="0"/>
        <w:spacing w:before="120" w:line="340" w:lineRule="exact"/>
        <w:ind w:firstLine="720"/>
        <w:jc w:val="both"/>
        <w:rPr>
          <w:color w:val="000000" w:themeColor="text1"/>
          <w:lang w:val="vi-VN"/>
        </w:rPr>
      </w:pPr>
      <w:r w:rsidRPr="00C411F0">
        <w:rPr>
          <w:color w:val="000000" w:themeColor="text1"/>
          <w:lang w:val="vi-VN"/>
        </w:rPr>
        <w:t xml:space="preserve">- </w:t>
      </w:r>
      <w:r w:rsidRPr="009605FD">
        <w:rPr>
          <w:color w:val="000000" w:themeColor="text1"/>
          <w:lang w:val="vi-VN"/>
        </w:rPr>
        <w:t>Được hưởng ưu đãi giảm 50% mức giá các</w:t>
      </w:r>
      <w:r w:rsidRPr="00C411F0">
        <w:rPr>
          <w:color w:val="000000" w:themeColor="text1"/>
          <w:lang w:val="vi-VN"/>
        </w:rPr>
        <w:t xml:space="preserve"> </w:t>
      </w:r>
      <w:r w:rsidRPr="009605FD">
        <w:rPr>
          <w:color w:val="000000" w:themeColor="text1"/>
          <w:lang w:val="vi-VN"/>
        </w:rPr>
        <w:t>dịch vụ</w:t>
      </w:r>
      <w:r w:rsidRPr="00C411F0">
        <w:rPr>
          <w:color w:val="000000" w:themeColor="text1"/>
          <w:lang w:val="vi-VN"/>
        </w:rPr>
        <w:t>:</w:t>
      </w:r>
      <w:r w:rsidRPr="009605FD">
        <w:rPr>
          <w:color w:val="000000" w:themeColor="text1"/>
          <w:lang w:val="vi-VN"/>
        </w:rPr>
        <w:t xml:space="preserve"> Đ</w:t>
      </w:r>
      <w:r w:rsidRPr="00C411F0">
        <w:rPr>
          <w:color w:val="000000" w:themeColor="text1"/>
          <w:lang w:val="vi-VN"/>
        </w:rPr>
        <w:t xml:space="preserve">ăng ký niêm yết, </w:t>
      </w:r>
      <w:r w:rsidRPr="009605FD">
        <w:rPr>
          <w:color w:val="000000" w:themeColor="text1"/>
          <w:lang w:val="vi-VN"/>
        </w:rPr>
        <w:t>Quản lý niêm yết</w:t>
      </w:r>
      <w:r w:rsidRPr="00C411F0">
        <w:rPr>
          <w:color w:val="000000" w:themeColor="text1"/>
          <w:lang w:val="vi-VN"/>
        </w:rPr>
        <w:t xml:space="preserve">, </w:t>
      </w:r>
      <w:r w:rsidRPr="009605FD">
        <w:rPr>
          <w:color w:val="000000" w:themeColor="text1"/>
          <w:lang w:val="vi-VN"/>
        </w:rPr>
        <w:t>Giao dịch</w:t>
      </w:r>
      <w:r w:rsidRPr="00C411F0">
        <w:rPr>
          <w:color w:val="000000" w:themeColor="text1"/>
          <w:lang w:val="vi-VN"/>
        </w:rPr>
        <w:t xml:space="preserve">, </w:t>
      </w:r>
      <w:r w:rsidRPr="009605FD">
        <w:rPr>
          <w:color w:val="000000" w:themeColor="text1"/>
          <w:lang w:val="vi-VN"/>
        </w:rPr>
        <w:t>Đ</w:t>
      </w:r>
      <w:r w:rsidRPr="00C411F0">
        <w:rPr>
          <w:color w:val="000000" w:themeColor="text1"/>
          <w:lang w:val="vi-VN"/>
        </w:rPr>
        <w:t xml:space="preserve">ăng ký chứng khoán, </w:t>
      </w:r>
      <w:r w:rsidRPr="009605FD">
        <w:rPr>
          <w:color w:val="000000" w:themeColor="text1"/>
          <w:lang w:val="vi-VN"/>
        </w:rPr>
        <w:t>H</w:t>
      </w:r>
      <w:r w:rsidRPr="00C411F0">
        <w:rPr>
          <w:color w:val="000000" w:themeColor="text1"/>
          <w:lang w:val="vi-VN"/>
        </w:rPr>
        <w:t xml:space="preserve">ủy đăng ký chứng khoán một phần, </w:t>
      </w:r>
      <w:r w:rsidRPr="009605FD">
        <w:rPr>
          <w:color w:val="000000" w:themeColor="text1"/>
          <w:lang w:val="vi-VN"/>
        </w:rPr>
        <w:t>L</w:t>
      </w:r>
      <w:r w:rsidRPr="00C411F0">
        <w:rPr>
          <w:color w:val="000000" w:themeColor="text1"/>
          <w:lang w:val="vi-VN"/>
        </w:rPr>
        <w:t>ưu ký chứng khoán (</w:t>
      </w:r>
      <w:r w:rsidRPr="009605FD">
        <w:rPr>
          <w:color w:val="000000" w:themeColor="text1"/>
          <w:lang w:val="vi-VN"/>
        </w:rPr>
        <w:t>Thông tư số 101/</w:t>
      </w:r>
      <w:r w:rsidRPr="00C411F0">
        <w:rPr>
          <w:color w:val="000000" w:themeColor="text1"/>
          <w:lang w:val="vi-VN"/>
        </w:rPr>
        <w:t>2021/</w:t>
      </w:r>
      <w:r w:rsidRPr="009605FD">
        <w:rPr>
          <w:color w:val="000000" w:themeColor="text1"/>
          <w:lang w:val="vi-VN"/>
        </w:rPr>
        <w:t>TT-BTC</w:t>
      </w:r>
      <w:r w:rsidRPr="00C411F0">
        <w:rPr>
          <w:color w:val="000000" w:themeColor="text1"/>
          <w:lang w:val="vi-VN"/>
        </w:rPr>
        <w:t>)</w:t>
      </w:r>
      <w:r w:rsidR="00FA0629" w:rsidRPr="00C411F0">
        <w:rPr>
          <w:color w:val="000000" w:themeColor="text1"/>
          <w:lang w:val="vi-VN"/>
        </w:rPr>
        <w:t>;</w:t>
      </w:r>
    </w:p>
    <w:p w14:paraId="7A788B35" w14:textId="2B09C8E3" w:rsidR="00FA0629" w:rsidRPr="00C411F0" w:rsidRDefault="00FA0629" w:rsidP="00FA0629">
      <w:pPr>
        <w:widowControl w:val="0"/>
        <w:tabs>
          <w:tab w:val="num" w:pos="1440"/>
        </w:tabs>
        <w:spacing w:before="120" w:line="340" w:lineRule="exact"/>
        <w:ind w:firstLine="720"/>
        <w:jc w:val="both"/>
        <w:rPr>
          <w:color w:val="000000" w:themeColor="text1"/>
          <w:lang w:val="vi-VN"/>
        </w:rPr>
      </w:pPr>
      <w:r w:rsidRPr="00C411F0">
        <w:rPr>
          <w:color w:val="000000" w:themeColor="text1"/>
          <w:lang w:val="vi-VN"/>
        </w:rPr>
        <w:lastRenderedPageBreak/>
        <w:t>- Dự án đầu tư công sử dụng nguồn vốn từ phát hành trái phiếu xanh do Chính phủ, chính quyền địa phương phát hành được ưu tiên bố trí đủ vốn theo tiến độ thực hiện dự án trong kế hoạch đầu tư công trung hạn và hàng năm.</w:t>
      </w:r>
    </w:p>
    <w:p w14:paraId="7D817805" w14:textId="522FD255" w:rsidR="00FA0629" w:rsidRPr="00C411F0" w:rsidRDefault="00FA0629" w:rsidP="00FA0629">
      <w:pPr>
        <w:widowControl w:val="0"/>
        <w:tabs>
          <w:tab w:val="num" w:pos="1440"/>
        </w:tabs>
        <w:spacing w:before="120" w:line="340" w:lineRule="exact"/>
        <w:ind w:firstLine="720"/>
        <w:jc w:val="both"/>
        <w:rPr>
          <w:color w:val="000000" w:themeColor="text1"/>
          <w:lang w:val="vi-VN"/>
        </w:rPr>
      </w:pPr>
      <w:r w:rsidRPr="00C411F0">
        <w:rPr>
          <w:color w:val="000000" w:themeColor="text1"/>
          <w:lang w:val="vi-VN"/>
        </w:rPr>
        <w:t>- Ưu đãi về thuế: Bộ Tài chính dự kiến trình các cấp có thẩm quyền ban hành các chính sách ưu đãi thuế thu nhập doanh nghiệp, thuế thu nhập cá nhân đối với các nguồn thu nhập phát sinh từ trái phiếu xanh trong quá trình sửa đổi Luật Thuế thu nhập doanh nghiệp, Luật Thuế thu nhập cá nhân và các văn bản hướng dẫn.</w:t>
      </w:r>
    </w:p>
    <w:p w14:paraId="25FE8DB0" w14:textId="4918EAEE" w:rsidR="0011120E" w:rsidRPr="00C411F0" w:rsidRDefault="00557544" w:rsidP="0012202B">
      <w:pPr>
        <w:widowControl w:val="0"/>
        <w:spacing w:before="120" w:line="340" w:lineRule="exact"/>
        <w:ind w:firstLine="720"/>
        <w:jc w:val="both"/>
        <w:rPr>
          <w:color w:val="000000" w:themeColor="text1"/>
          <w:lang w:val="vi-VN"/>
        </w:rPr>
      </w:pPr>
      <w:r w:rsidRPr="00C411F0">
        <w:rPr>
          <w:color w:val="000000" w:themeColor="text1"/>
          <w:lang w:val="vi-VN"/>
        </w:rPr>
        <w:t xml:space="preserve">Thực tế hiện nay ở nước ta các TCTD tự thẩm định (hoặc thuê đơn vị/chuyên gia hỗ trợ thẩm định) dự án xanh để xem xét cấp tín dụng xanh. </w:t>
      </w:r>
      <w:r w:rsidR="0012202B" w:rsidRPr="00C411F0">
        <w:rPr>
          <w:color w:val="000000" w:themeColor="text1"/>
          <w:lang w:val="vi-VN"/>
        </w:rPr>
        <w:t xml:space="preserve">Hiện chưa có quy định, hướng dẫn cụ thể về việc xác nhận dự án thuộc danh mục phân loại xanh theo đề nghị của chủ dự án đầu tư, chủ thể phát hành trái phiếu xanh có nhu cầu xác nhận </w:t>
      </w:r>
      <w:r w:rsidRPr="00C411F0">
        <w:rPr>
          <w:color w:val="000000" w:themeColor="text1"/>
          <w:lang w:val="vi-VN"/>
        </w:rPr>
        <w:t xml:space="preserve">(sau đây viết tắt là xác nhận dự án xanh) </w:t>
      </w:r>
      <w:r w:rsidR="0012202B" w:rsidRPr="00C411F0">
        <w:rPr>
          <w:color w:val="000000" w:themeColor="text1"/>
          <w:lang w:val="vi-VN"/>
        </w:rPr>
        <w:t xml:space="preserve">để được hưởng chính sách ưu đãi, hỗ trợ của nhà nước. </w:t>
      </w:r>
      <w:r w:rsidRPr="00C411F0">
        <w:rPr>
          <w:color w:val="000000" w:themeColor="text1"/>
          <w:lang w:val="vi-VN"/>
        </w:rPr>
        <w:t>Do đó, việc ban hành quy định xác nhận dự án xanh để được hưởng chính sách ưu đãi, hỗ trợ của nhà nước là rất cần thiết, đặc biệt khi thị trường tài chính xanh ngày càng phát triển mạnh và nhu cầu tham gia, được hưởng các quyền, lợi ích hợp pháp của các tổ chức, cá nhân khi tham gia vào thị trường tín dụng xanh, trái phiếu xanh ngày càng cao.</w:t>
      </w:r>
    </w:p>
    <w:p w14:paraId="21E3C0E9" w14:textId="3CB9CAA4" w:rsidR="00DF7101" w:rsidRPr="009605FD" w:rsidRDefault="00347EF0" w:rsidP="00935303">
      <w:pPr>
        <w:widowControl w:val="0"/>
        <w:tabs>
          <w:tab w:val="right" w:leader="dot" w:pos="7920"/>
        </w:tabs>
        <w:spacing w:before="80" w:line="380" w:lineRule="exact"/>
        <w:ind w:firstLine="454"/>
        <w:jc w:val="both"/>
        <w:rPr>
          <w:b/>
          <w:bCs/>
          <w:i/>
          <w:iCs/>
          <w:color w:val="000000" w:themeColor="text1"/>
          <w:lang w:val="vi-VN"/>
        </w:rPr>
      </w:pPr>
      <w:r w:rsidRPr="009605FD">
        <w:rPr>
          <w:b/>
          <w:bCs/>
          <w:i/>
          <w:iCs/>
          <w:color w:val="000000" w:themeColor="text1"/>
          <w:lang w:val="vi-VN"/>
        </w:rPr>
        <w:t>2.2. Mục tiêu giải quyết vấn đề</w:t>
      </w:r>
    </w:p>
    <w:p w14:paraId="12693AF7" w14:textId="60943695" w:rsidR="00C75076" w:rsidRPr="00C411F0" w:rsidRDefault="00C14651" w:rsidP="00E41BC7">
      <w:pPr>
        <w:widowControl w:val="0"/>
        <w:spacing w:before="120" w:line="340" w:lineRule="exact"/>
        <w:ind w:firstLine="720"/>
        <w:jc w:val="both"/>
        <w:rPr>
          <w:color w:val="000000" w:themeColor="text1"/>
          <w:lang w:val="vi-VN"/>
        </w:rPr>
      </w:pPr>
      <w:r w:rsidRPr="00C411F0">
        <w:rPr>
          <w:color w:val="000000" w:themeColor="text1"/>
          <w:lang w:val="vi-VN"/>
        </w:rPr>
        <w:t>Quy định việc xác nhận đối với dự án thuộc Danh mục phân loại xanh đối với trường hợp chủ dự án đầu tư, chủ thể phát hành trái phiếu xanh có nhu cầu xác nhận để được hưởng chính sách ưu đãi, hỗ trợ của Nhà nước về tín dụng xanh, trái phiếu xanh theo quy định của Luật BVMT 2020 và Nghị định số 08/2022/NĐ-CP, bảo đảm</w:t>
      </w:r>
      <w:r w:rsidR="0083030A">
        <w:rPr>
          <w:color w:val="000000" w:themeColor="text1"/>
          <w:lang w:val="vi-VN"/>
        </w:rPr>
        <w:t xml:space="preserve"> giảm thiểu,</w:t>
      </w:r>
      <w:r w:rsidR="00E41BC7">
        <w:rPr>
          <w:color w:val="000000" w:themeColor="text1"/>
          <w:lang w:val="vi-VN"/>
        </w:rPr>
        <w:t xml:space="preserve"> cải cách thủ tục hành chính, tạo</w:t>
      </w:r>
      <w:r w:rsidRPr="00C411F0">
        <w:rPr>
          <w:color w:val="000000" w:themeColor="text1"/>
          <w:lang w:val="vi-VN"/>
        </w:rPr>
        <w:t xml:space="preserve"> thuận lợi cho tổ chức, cá nhân và hài hoà với thông lệ quốc tế.</w:t>
      </w:r>
    </w:p>
    <w:p w14:paraId="12863719" w14:textId="2F5619E8" w:rsidR="00347EF0" w:rsidRPr="009605FD" w:rsidRDefault="00347EF0" w:rsidP="007054F5">
      <w:pPr>
        <w:widowControl w:val="0"/>
        <w:tabs>
          <w:tab w:val="right" w:leader="dot" w:pos="7920"/>
        </w:tabs>
        <w:spacing w:before="120" w:line="276" w:lineRule="auto"/>
        <w:ind w:firstLine="454"/>
        <w:jc w:val="both"/>
        <w:rPr>
          <w:b/>
          <w:bCs/>
          <w:i/>
          <w:iCs/>
          <w:color w:val="000000" w:themeColor="text1"/>
          <w:lang w:val="vi-VN"/>
        </w:rPr>
      </w:pPr>
      <w:r w:rsidRPr="009605FD">
        <w:rPr>
          <w:b/>
          <w:bCs/>
          <w:i/>
          <w:iCs/>
          <w:color w:val="000000" w:themeColor="text1"/>
          <w:lang w:val="vi-VN"/>
        </w:rPr>
        <w:t>2.3. Các giải pháp đề xuất để giải quyết vấn đề</w:t>
      </w:r>
    </w:p>
    <w:p w14:paraId="6A031DFB" w14:textId="3341C861" w:rsidR="003A56FE" w:rsidRPr="00C411F0" w:rsidRDefault="003A56FE" w:rsidP="007054F5">
      <w:pPr>
        <w:widowControl w:val="0"/>
        <w:tabs>
          <w:tab w:val="right" w:leader="dot" w:pos="7920"/>
        </w:tabs>
        <w:spacing w:before="120" w:line="276" w:lineRule="auto"/>
        <w:ind w:firstLine="454"/>
        <w:jc w:val="both"/>
        <w:rPr>
          <w:color w:val="000000" w:themeColor="text1"/>
          <w:lang w:val="vi-VN"/>
        </w:rPr>
      </w:pPr>
      <w:r w:rsidRPr="00C411F0">
        <w:rPr>
          <w:color w:val="000000" w:themeColor="text1"/>
          <w:lang w:val="vi-VN"/>
        </w:rPr>
        <w:t xml:space="preserve">- Phương án </w:t>
      </w:r>
      <w:r w:rsidR="00AD12B2" w:rsidRPr="00C411F0">
        <w:rPr>
          <w:color w:val="000000" w:themeColor="text1"/>
          <w:lang w:val="vi-VN"/>
        </w:rPr>
        <w:t>0</w:t>
      </w:r>
      <w:r w:rsidRPr="00C411F0">
        <w:rPr>
          <w:color w:val="000000" w:themeColor="text1"/>
          <w:lang w:val="vi-VN"/>
        </w:rPr>
        <w:t>: Giữ nguyên</w:t>
      </w:r>
      <w:r w:rsidR="009428C2" w:rsidRPr="00C411F0">
        <w:rPr>
          <w:color w:val="000000" w:themeColor="text1"/>
          <w:lang w:val="vi-VN"/>
        </w:rPr>
        <w:t xml:space="preserve"> như</w:t>
      </w:r>
      <w:r w:rsidRPr="00C411F0">
        <w:rPr>
          <w:color w:val="000000" w:themeColor="text1"/>
          <w:lang w:val="vi-VN"/>
        </w:rPr>
        <w:t xml:space="preserve"> hiện trạng</w:t>
      </w:r>
      <w:r w:rsidR="009428C2" w:rsidRPr="00C411F0">
        <w:rPr>
          <w:color w:val="000000" w:themeColor="text1"/>
          <w:lang w:val="vi-VN"/>
        </w:rPr>
        <w:t xml:space="preserve"> (không quy định việc xác nhận</w:t>
      </w:r>
      <w:r w:rsidR="00922E90" w:rsidRPr="00C411F0">
        <w:rPr>
          <w:color w:val="000000" w:themeColor="text1"/>
          <w:lang w:val="vi-VN"/>
        </w:rPr>
        <w:t xml:space="preserve"> dự án xanh</w:t>
      </w:r>
      <w:r w:rsidR="009428C2" w:rsidRPr="00C411F0">
        <w:rPr>
          <w:color w:val="000000" w:themeColor="text1"/>
          <w:lang w:val="vi-VN"/>
        </w:rPr>
        <w:t>)</w:t>
      </w:r>
      <w:r w:rsidR="00922E90" w:rsidRPr="00C411F0">
        <w:rPr>
          <w:color w:val="000000" w:themeColor="text1"/>
          <w:lang w:val="vi-VN"/>
        </w:rPr>
        <w:t>.</w:t>
      </w:r>
    </w:p>
    <w:p w14:paraId="49ED6091" w14:textId="2FBE31F9" w:rsidR="0083030A" w:rsidRPr="007054F5" w:rsidRDefault="003A56FE" w:rsidP="007054F5">
      <w:pPr>
        <w:widowControl w:val="0"/>
        <w:tabs>
          <w:tab w:val="right" w:leader="dot" w:pos="7920"/>
        </w:tabs>
        <w:spacing w:before="120" w:line="276" w:lineRule="auto"/>
        <w:ind w:firstLine="454"/>
        <w:jc w:val="both"/>
        <w:rPr>
          <w:color w:val="000000" w:themeColor="text1"/>
          <w:spacing w:val="-2"/>
          <w:lang w:val="vi-VN"/>
        </w:rPr>
      </w:pPr>
      <w:r w:rsidRPr="007054F5">
        <w:rPr>
          <w:color w:val="000000" w:themeColor="text1"/>
          <w:spacing w:val="-2"/>
          <w:lang w:val="vi-VN"/>
        </w:rPr>
        <w:t xml:space="preserve">- Phương án </w:t>
      </w:r>
      <w:r w:rsidR="00AD12B2" w:rsidRPr="007054F5">
        <w:rPr>
          <w:color w:val="000000" w:themeColor="text1"/>
          <w:spacing w:val="-2"/>
          <w:lang w:val="vi-VN"/>
        </w:rPr>
        <w:t>1</w:t>
      </w:r>
      <w:r w:rsidRPr="007054F5">
        <w:rPr>
          <w:color w:val="000000" w:themeColor="text1"/>
          <w:spacing w:val="-2"/>
          <w:lang w:val="vi-VN"/>
        </w:rPr>
        <w:t xml:space="preserve">: </w:t>
      </w:r>
      <w:r w:rsidR="00B003D4" w:rsidRPr="007054F5">
        <w:rPr>
          <w:color w:val="000000" w:themeColor="text1"/>
          <w:spacing w:val="-2"/>
          <w:lang w:val="vi-VN"/>
        </w:rPr>
        <w:t xml:space="preserve">Chỉ </w:t>
      </w:r>
      <w:r w:rsidR="008865A4" w:rsidRPr="007054F5">
        <w:rPr>
          <w:color w:val="000000" w:themeColor="text1"/>
          <w:spacing w:val="-2"/>
          <w:lang w:val="vi-VN"/>
        </w:rPr>
        <w:t xml:space="preserve">bắt buộc </w:t>
      </w:r>
      <w:r w:rsidR="00B003D4" w:rsidRPr="007054F5">
        <w:rPr>
          <w:color w:val="000000" w:themeColor="text1"/>
          <w:spacing w:val="-2"/>
          <w:lang w:val="vi-VN"/>
        </w:rPr>
        <w:t>x</w:t>
      </w:r>
      <w:r w:rsidR="00395598" w:rsidRPr="007054F5">
        <w:rPr>
          <w:color w:val="000000" w:themeColor="text1"/>
          <w:spacing w:val="-2"/>
          <w:lang w:val="vi-VN"/>
        </w:rPr>
        <w:t>ác nhận dự án xanh</w:t>
      </w:r>
      <w:r w:rsidR="00B003D4" w:rsidRPr="007054F5">
        <w:rPr>
          <w:color w:val="000000" w:themeColor="text1"/>
          <w:spacing w:val="-2"/>
          <w:lang w:val="vi-VN"/>
        </w:rPr>
        <w:t xml:space="preserve"> đối với các dự án chuyển đổi xanh và việc xác nhận được </w:t>
      </w:r>
      <w:r w:rsidR="008865A4" w:rsidRPr="007054F5">
        <w:rPr>
          <w:color w:val="000000" w:themeColor="text1"/>
          <w:spacing w:val="-2"/>
          <w:lang w:val="vi-VN"/>
        </w:rPr>
        <w:t xml:space="preserve">thực hiện thông qua cơ quan quản lý nhà nước có thẩm quyền về bảo vệ môi trường. </w:t>
      </w:r>
      <w:r w:rsidR="00EE530C" w:rsidRPr="007054F5">
        <w:rPr>
          <w:color w:val="000000" w:themeColor="text1"/>
          <w:spacing w:val="-2"/>
          <w:lang w:val="vi-VN"/>
        </w:rPr>
        <w:t>T</w:t>
      </w:r>
      <w:r w:rsidR="008865A4" w:rsidRPr="007054F5">
        <w:rPr>
          <w:color w:val="000000" w:themeColor="text1"/>
          <w:spacing w:val="-2"/>
          <w:lang w:val="vi-VN"/>
        </w:rPr>
        <w:t xml:space="preserve">rường hợp các </w:t>
      </w:r>
      <w:r w:rsidR="00EE530C" w:rsidRPr="007054F5">
        <w:rPr>
          <w:color w:val="000000" w:themeColor="text1"/>
          <w:spacing w:val="-2"/>
          <w:lang w:val="vi-VN"/>
        </w:rPr>
        <w:t xml:space="preserve">loại hình </w:t>
      </w:r>
      <w:r w:rsidR="008865A4" w:rsidRPr="007054F5">
        <w:rPr>
          <w:color w:val="000000" w:themeColor="text1"/>
          <w:spacing w:val="-2"/>
          <w:lang w:val="vi-VN"/>
        </w:rPr>
        <w:t xml:space="preserve">dự án còn lại nếu </w:t>
      </w:r>
      <w:r w:rsidR="00EE530C" w:rsidRPr="007054F5">
        <w:rPr>
          <w:color w:val="000000" w:themeColor="text1"/>
          <w:spacing w:val="-2"/>
          <w:lang w:val="vi-VN"/>
        </w:rPr>
        <w:t xml:space="preserve">chủ dự án có nhu cầu xác nhận dự án xanh (tự nguyện đề nghị xác nhận) thì việc xác nhận được </w:t>
      </w:r>
      <w:r w:rsidR="00B003D4" w:rsidRPr="007054F5">
        <w:rPr>
          <w:color w:val="000000" w:themeColor="text1"/>
          <w:spacing w:val="-2"/>
          <w:lang w:val="vi-VN"/>
        </w:rPr>
        <w:t>thực hiện</w:t>
      </w:r>
      <w:r w:rsidR="00395598" w:rsidRPr="007054F5">
        <w:rPr>
          <w:color w:val="000000" w:themeColor="text1"/>
          <w:spacing w:val="-2"/>
          <w:lang w:val="vi-VN"/>
        </w:rPr>
        <w:t xml:space="preserve"> thông qua </w:t>
      </w:r>
      <w:r w:rsidR="00B003D4" w:rsidRPr="007054F5">
        <w:rPr>
          <w:color w:val="000000" w:themeColor="text1"/>
          <w:spacing w:val="-2"/>
          <w:lang w:val="vi-VN"/>
        </w:rPr>
        <w:t xml:space="preserve">các </w:t>
      </w:r>
      <w:r w:rsidR="00C75076" w:rsidRPr="007054F5">
        <w:rPr>
          <w:color w:val="000000" w:themeColor="text1"/>
          <w:spacing w:val="-2"/>
          <w:lang w:val="vi-VN"/>
        </w:rPr>
        <w:t xml:space="preserve">tổ chức đánh giá, xác nhận </w:t>
      </w:r>
      <w:r w:rsidR="00395598" w:rsidRPr="007054F5">
        <w:rPr>
          <w:color w:val="000000" w:themeColor="text1"/>
          <w:spacing w:val="-2"/>
          <w:lang w:val="vi-VN"/>
        </w:rPr>
        <w:t>độc lập</w:t>
      </w:r>
      <w:r w:rsidR="00B003D4" w:rsidRPr="007054F5">
        <w:rPr>
          <w:color w:val="000000" w:themeColor="text1"/>
          <w:spacing w:val="-2"/>
          <w:lang w:val="vi-VN"/>
        </w:rPr>
        <w:t xml:space="preserve"> </w:t>
      </w:r>
      <w:r w:rsidR="0083030A" w:rsidRPr="007054F5">
        <w:rPr>
          <w:color w:val="000000" w:themeColor="text1"/>
          <w:spacing w:val="-2"/>
          <w:lang w:val="vi-VN"/>
        </w:rPr>
        <w:t>(</w:t>
      </w:r>
      <w:r w:rsidR="007D304E" w:rsidRPr="007054F5">
        <w:rPr>
          <w:color w:val="000000" w:themeColor="text1"/>
          <w:spacing w:val="-2"/>
        </w:rPr>
        <w:t>xã</w:t>
      </w:r>
      <w:r w:rsidR="007D304E" w:rsidRPr="007054F5">
        <w:rPr>
          <w:color w:val="000000" w:themeColor="text1"/>
          <w:spacing w:val="-2"/>
          <w:lang w:val="vi-VN"/>
        </w:rPr>
        <w:t xml:space="preserve"> hội hoá</w:t>
      </w:r>
      <w:r w:rsidR="0083030A" w:rsidRPr="007054F5">
        <w:rPr>
          <w:color w:val="000000" w:themeColor="text1"/>
          <w:spacing w:val="-2"/>
          <w:lang w:val="vi-VN"/>
        </w:rPr>
        <w:t>)</w:t>
      </w:r>
      <w:r w:rsidR="007D304E" w:rsidRPr="007054F5">
        <w:rPr>
          <w:color w:val="000000" w:themeColor="text1"/>
          <w:spacing w:val="-2"/>
          <w:lang w:val="vi-VN"/>
        </w:rPr>
        <w:t>.</w:t>
      </w:r>
    </w:p>
    <w:p w14:paraId="41FC8430" w14:textId="07D4688D" w:rsidR="00347EF0" w:rsidRPr="009605FD" w:rsidRDefault="00347EF0" w:rsidP="007054F5">
      <w:pPr>
        <w:widowControl w:val="0"/>
        <w:tabs>
          <w:tab w:val="right" w:leader="dot" w:pos="7920"/>
        </w:tabs>
        <w:spacing w:before="120" w:line="276" w:lineRule="auto"/>
        <w:ind w:firstLine="454"/>
        <w:jc w:val="both"/>
        <w:rPr>
          <w:b/>
          <w:bCs/>
          <w:i/>
          <w:iCs/>
          <w:color w:val="000000" w:themeColor="text1"/>
          <w:lang w:val="vi-VN"/>
        </w:rPr>
      </w:pPr>
      <w:r w:rsidRPr="009605FD">
        <w:rPr>
          <w:b/>
          <w:bCs/>
          <w:i/>
          <w:iCs/>
          <w:color w:val="000000" w:themeColor="text1"/>
          <w:lang w:val="vi-VN"/>
        </w:rPr>
        <w:t>2.4. Đánh giá tác động của các giải pháp đối với đối tượng chịu sự tác động trực tiếp của chính sách và các đối tượng khác có liên quan.</w:t>
      </w:r>
    </w:p>
    <w:p w14:paraId="0A7750B4" w14:textId="613B6D67" w:rsidR="003A56FE" w:rsidRPr="00C411F0" w:rsidRDefault="00922E90" w:rsidP="007054F5">
      <w:pPr>
        <w:widowControl w:val="0"/>
        <w:tabs>
          <w:tab w:val="right" w:leader="dot" w:pos="7920"/>
        </w:tabs>
        <w:spacing w:before="120" w:line="276" w:lineRule="auto"/>
        <w:ind w:firstLine="454"/>
        <w:jc w:val="both"/>
        <w:rPr>
          <w:i/>
          <w:iCs/>
          <w:color w:val="000000" w:themeColor="text1"/>
          <w:u w:val="single"/>
          <w:lang w:val="vi-VN"/>
        </w:rPr>
      </w:pPr>
      <w:r w:rsidRPr="00C411F0">
        <w:rPr>
          <w:i/>
          <w:iCs/>
          <w:color w:val="000000" w:themeColor="text1"/>
          <w:u w:val="single"/>
          <w:lang w:val="vi-VN"/>
        </w:rPr>
        <w:t>2.4.1.</w:t>
      </w:r>
      <w:r w:rsidR="003A56FE" w:rsidRPr="00C411F0">
        <w:rPr>
          <w:i/>
          <w:iCs/>
          <w:color w:val="000000" w:themeColor="text1"/>
          <w:u w:val="single"/>
          <w:lang w:val="vi-VN"/>
        </w:rPr>
        <w:t xml:space="preserve"> Phương án </w:t>
      </w:r>
      <w:r w:rsidR="00AD12B2" w:rsidRPr="00C411F0">
        <w:rPr>
          <w:i/>
          <w:iCs/>
          <w:color w:val="000000" w:themeColor="text1"/>
          <w:u w:val="single"/>
          <w:lang w:val="vi-VN"/>
        </w:rPr>
        <w:t>0</w:t>
      </w:r>
      <w:r w:rsidR="003A56FE" w:rsidRPr="00C411F0">
        <w:rPr>
          <w:i/>
          <w:iCs/>
          <w:color w:val="000000" w:themeColor="text1"/>
          <w:u w:val="single"/>
          <w:lang w:val="vi-VN"/>
        </w:rPr>
        <w:t>: Giữ nguyên hiện trạng</w:t>
      </w:r>
      <w:r w:rsidRPr="00C411F0">
        <w:rPr>
          <w:i/>
          <w:iCs/>
          <w:color w:val="000000" w:themeColor="text1"/>
          <w:u w:val="single"/>
          <w:lang w:val="vi-VN"/>
        </w:rPr>
        <w:t xml:space="preserve"> (không quy định việc xác nhận dự án xanh)</w:t>
      </w:r>
    </w:p>
    <w:p w14:paraId="556C10B3" w14:textId="77777777" w:rsidR="00ED06D4" w:rsidRPr="00C411F0" w:rsidRDefault="00ED06D4" w:rsidP="007054F5">
      <w:pPr>
        <w:widowControl w:val="0"/>
        <w:spacing w:before="120" w:line="276" w:lineRule="auto"/>
        <w:ind w:firstLine="454"/>
        <w:jc w:val="both"/>
        <w:rPr>
          <w:b/>
          <w:bCs/>
          <w:i/>
          <w:color w:val="000000" w:themeColor="text1"/>
          <w:highlight w:val="white"/>
          <w:lang w:val="vi-VN"/>
        </w:rPr>
      </w:pPr>
      <w:r w:rsidRPr="00C411F0">
        <w:rPr>
          <w:b/>
          <w:bCs/>
          <w:i/>
          <w:color w:val="000000" w:themeColor="text1"/>
          <w:highlight w:val="white"/>
          <w:lang w:val="nl-NL"/>
        </w:rPr>
        <w:t>a</w:t>
      </w:r>
      <w:r w:rsidRPr="00C411F0">
        <w:rPr>
          <w:b/>
          <w:bCs/>
          <w:i/>
          <w:color w:val="000000" w:themeColor="text1"/>
          <w:highlight w:val="white"/>
          <w:lang w:val="vi-VN"/>
        </w:rPr>
        <w:t>)</w:t>
      </w:r>
      <w:r w:rsidRPr="00C411F0">
        <w:rPr>
          <w:b/>
          <w:bCs/>
          <w:i/>
          <w:color w:val="000000" w:themeColor="text1"/>
          <w:highlight w:val="white"/>
          <w:lang w:val="nl-NL"/>
        </w:rPr>
        <w:t xml:space="preserve"> Tác động về kinh tế</w:t>
      </w:r>
      <w:r w:rsidRPr="00C411F0">
        <w:rPr>
          <w:b/>
          <w:bCs/>
          <w:i/>
          <w:color w:val="000000" w:themeColor="text1"/>
          <w:highlight w:val="white"/>
          <w:lang w:val="vi-VN"/>
        </w:rPr>
        <w:t>:</w:t>
      </w:r>
    </w:p>
    <w:p w14:paraId="2DC9791F" w14:textId="77777777" w:rsidR="00ED06D4" w:rsidRPr="00C411F0" w:rsidRDefault="00ED06D4"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lastRenderedPageBreak/>
        <w:t xml:space="preserve">* Đối với Nhà nước: </w:t>
      </w:r>
    </w:p>
    <w:p w14:paraId="253868CA" w14:textId="77777777" w:rsidR="00ED06D4" w:rsidRPr="00C411F0" w:rsidRDefault="00ED06D4" w:rsidP="007054F5">
      <w:pPr>
        <w:widowControl w:val="0"/>
        <w:spacing w:before="120" w:line="276" w:lineRule="auto"/>
        <w:ind w:firstLine="720"/>
        <w:jc w:val="both"/>
        <w:rPr>
          <w:color w:val="000000" w:themeColor="text1"/>
          <w:highlight w:val="white"/>
          <w:lang w:val="nl-NL"/>
        </w:rPr>
      </w:pPr>
      <w:r w:rsidRPr="00C411F0">
        <w:rPr>
          <w:i/>
          <w:color w:val="000000" w:themeColor="text1"/>
          <w:highlight w:val="white"/>
          <w:lang w:val="vi-VN"/>
        </w:rPr>
        <w:t xml:space="preserve">- </w:t>
      </w:r>
      <w:r w:rsidRPr="00C411F0">
        <w:rPr>
          <w:i/>
          <w:color w:val="000000" w:themeColor="text1"/>
          <w:highlight w:val="white"/>
          <w:lang w:val="nl-NL"/>
        </w:rPr>
        <w:t>Tác động tích</w:t>
      </w:r>
      <w:r w:rsidRPr="00C411F0">
        <w:rPr>
          <w:i/>
          <w:color w:val="000000" w:themeColor="text1"/>
          <w:highlight w:val="white"/>
          <w:lang w:val="vi-VN"/>
        </w:rPr>
        <w:t xml:space="preserve"> </w:t>
      </w:r>
      <w:r w:rsidRPr="00C411F0">
        <w:rPr>
          <w:i/>
          <w:color w:val="000000" w:themeColor="text1"/>
          <w:highlight w:val="white"/>
          <w:lang w:val="nl-NL"/>
        </w:rPr>
        <w:t>cực</w:t>
      </w:r>
      <w:r w:rsidRPr="00C411F0">
        <w:rPr>
          <w:color w:val="000000" w:themeColor="text1"/>
          <w:highlight w:val="white"/>
          <w:lang w:val="nl-NL"/>
        </w:rPr>
        <w:t>:</w:t>
      </w:r>
    </w:p>
    <w:p w14:paraId="744F5B9B" w14:textId="7718FF92" w:rsidR="00922E90" w:rsidRPr="00C411F0" w:rsidRDefault="005503AB" w:rsidP="007054F5">
      <w:pPr>
        <w:widowControl w:val="0"/>
        <w:tabs>
          <w:tab w:val="right" w:leader="dot" w:pos="7920"/>
        </w:tabs>
        <w:spacing w:before="120" w:line="276" w:lineRule="auto"/>
        <w:ind w:firstLine="720"/>
        <w:jc w:val="both"/>
        <w:rPr>
          <w:color w:val="000000" w:themeColor="text1"/>
          <w:lang w:val="vi-VN"/>
        </w:rPr>
      </w:pPr>
      <w:r w:rsidRPr="009605FD">
        <w:rPr>
          <w:color w:val="000000" w:themeColor="text1"/>
          <w:lang w:val="nl-NL"/>
        </w:rPr>
        <w:t>Với</w:t>
      </w:r>
      <w:r w:rsidRPr="00C411F0">
        <w:rPr>
          <w:color w:val="000000" w:themeColor="text1"/>
          <w:lang w:val="vi-VN"/>
        </w:rPr>
        <w:t xml:space="preserve"> Phương án </w:t>
      </w:r>
      <w:r w:rsidR="00AD12B2" w:rsidRPr="00C411F0">
        <w:rPr>
          <w:color w:val="000000" w:themeColor="text1"/>
          <w:lang w:val="vi-VN"/>
        </w:rPr>
        <w:t>0</w:t>
      </w:r>
      <w:r w:rsidRPr="00C411F0">
        <w:rPr>
          <w:color w:val="000000" w:themeColor="text1"/>
          <w:lang w:val="vi-VN"/>
        </w:rPr>
        <w:t>, Nhà nước</w:t>
      </w:r>
      <w:r w:rsidR="005F3B07" w:rsidRPr="00C411F0">
        <w:rPr>
          <w:color w:val="000000" w:themeColor="text1"/>
          <w:lang w:val="vi-VN"/>
        </w:rPr>
        <w:t xml:space="preserve"> (Bộ TNMT, </w:t>
      </w:r>
      <w:r w:rsidR="00AC7E57" w:rsidRPr="00C411F0">
        <w:rPr>
          <w:color w:val="000000" w:themeColor="text1"/>
          <w:lang w:val="vi-VN"/>
        </w:rPr>
        <w:t>Bộ Tài chính, Bộ Kế hoạch và Đầu tư,</w:t>
      </w:r>
      <w:r w:rsidR="005F3B07" w:rsidRPr="00C411F0">
        <w:rPr>
          <w:color w:val="000000" w:themeColor="text1"/>
          <w:lang w:val="vi-VN"/>
        </w:rPr>
        <w:t xml:space="preserve"> các Bộ, ngành liên quan</w:t>
      </w:r>
      <w:r w:rsidR="00AC7E57" w:rsidRPr="00C411F0">
        <w:rPr>
          <w:color w:val="000000" w:themeColor="text1"/>
          <w:lang w:val="vi-VN"/>
        </w:rPr>
        <w:t xml:space="preserve"> và UBND cấp tỉnh</w:t>
      </w:r>
      <w:r w:rsidR="005F3B07" w:rsidRPr="00C411F0">
        <w:rPr>
          <w:color w:val="000000" w:themeColor="text1"/>
          <w:lang w:val="vi-VN"/>
        </w:rPr>
        <w:t>)</w:t>
      </w:r>
      <w:r w:rsidRPr="00C411F0">
        <w:rPr>
          <w:color w:val="000000" w:themeColor="text1"/>
          <w:lang w:val="vi-VN"/>
        </w:rPr>
        <w:t xml:space="preserve"> không phải xây dựng, </w:t>
      </w:r>
      <w:r w:rsidRPr="009605FD">
        <w:rPr>
          <w:color w:val="000000" w:themeColor="text1"/>
          <w:lang w:val="nl-NL"/>
        </w:rPr>
        <w:t xml:space="preserve">ban hành quy định điều kiện hoạt động của tổ chức đánh giá, xác nhận </w:t>
      </w:r>
      <w:r w:rsidRPr="00C411F0">
        <w:rPr>
          <w:color w:val="000000" w:themeColor="text1"/>
          <w:lang w:val="vi-VN"/>
        </w:rPr>
        <w:t xml:space="preserve">(như Phương án </w:t>
      </w:r>
      <w:r w:rsidR="00AD12B2" w:rsidRPr="00C411F0">
        <w:rPr>
          <w:color w:val="000000" w:themeColor="text1"/>
          <w:lang w:val="vi-VN"/>
        </w:rPr>
        <w:t>3</w:t>
      </w:r>
      <w:r w:rsidRPr="00C411F0">
        <w:rPr>
          <w:color w:val="000000" w:themeColor="text1"/>
          <w:lang w:val="vi-VN"/>
        </w:rPr>
        <w:t>)</w:t>
      </w:r>
      <w:r w:rsidR="005F3B07" w:rsidRPr="00C411F0">
        <w:rPr>
          <w:color w:val="000000" w:themeColor="text1"/>
          <w:lang w:val="vi-VN"/>
        </w:rPr>
        <w:t xml:space="preserve"> và không phải bố trí nguồn lực để </w:t>
      </w:r>
      <w:r w:rsidR="00AC7E57" w:rsidRPr="00C411F0">
        <w:rPr>
          <w:color w:val="000000" w:themeColor="text1"/>
          <w:lang w:val="vi-VN"/>
        </w:rPr>
        <w:t xml:space="preserve">thực hiện việc xác nhận dự án xanh (như </w:t>
      </w:r>
      <w:r w:rsidR="00AD12B2" w:rsidRPr="00C411F0">
        <w:rPr>
          <w:color w:val="000000" w:themeColor="text1"/>
          <w:lang w:val="vi-VN"/>
        </w:rPr>
        <w:t xml:space="preserve">các </w:t>
      </w:r>
      <w:r w:rsidR="00AC7E57" w:rsidRPr="00C411F0">
        <w:rPr>
          <w:color w:val="000000" w:themeColor="text1"/>
          <w:lang w:val="vi-VN"/>
        </w:rPr>
        <w:t xml:space="preserve">Phương án </w:t>
      </w:r>
      <w:r w:rsidR="00AD12B2" w:rsidRPr="00C411F0">
        <w:rPr>
          <w:color w:val="000000" w:themeColor="text1"/>
          <w:lang w:val="vi-VN"/>
        </w:rPr>
        <w:t>1, 2</w:t>
      </w:r>
      <w:r w:rsidR="00AC7E57" w:rsidRPr="00C411F0">
        <w:rPr>
          <w:color w:val="000000" w:themeColor="text1"/>
          <w:lang w:val="vi-VN"/>
        </w:rPr>
        <w:t>).</w:t>
      </w:r>
    </w:p>
    <w:p w14:paraId="524ECB28" w14:textId="3E3F1BCF" w:rsidR="00032364" w:rsidRPr="00C411F0" w:rsidRDefault="00032364"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Đồng thời, do không thực hiện được việc xác nhận dự án xanh, nên tổ chức, các nhân không thể tiến hành thủ tục đề nghị hưởng ưu đãi, hỗ trợ theo quy định</w:t>
      </w:r>
      <w:r w:rsidR="00E95686" w:rsidRPr="00C411F0">
        <w:rPr>
          <w:color w:val="000000" w:themeColor="text1"/>
          <w:lang w:val="vi-VN"/>
        </w:rPr>
        <w:t>, vẫn phải thực hiện theo các quy định đối với trường hợp cấp tín dụng hoặc phát hành trái phiếu thông thường</w:t>
      </w:r>
      <w:r w:rsidRPr="00C411F0">
        <w:rPr>
          <w:color w:val="000000" w:themeColor="text1"/>
          <w:lang w:val="vi-VN"/>
        </w:rPr>
        <w:t xml:space="preserve">. </w:t>
      </w:r>
      <w:r w:rsidR="00E95686" w:rsidRPr="00C411F0">
        <w:rPr>
          <w:color w:val="000000" w:themeColor="text1"/>
          <w:lang w:val="vi-VN"/>
        </w:rPr>
        <w:t xml:space="preserve">Theo cách tiếp cận này, Nhà nước sẽ không bị mất đi khoản kinh phí đúng bằng giá trị các tổ chức, cá nhân sẽ được hưởng nếu được xác nhận dự án xanh. Khoản kinh phí này là khác nhau đối với </w:t>
      </w:r>
      <w:r w:rsidR="00FD2516" w:rsidRPr="00C411F0">
        <w:rPr>
          <w:color w:val="000000" w:themeColor="text1"/>
          <w:lang w:val="vi-VN"/>
        </w:rPr>
        <w:t xml:space="preserve">từng </w:t>
      </w:r>
      <w:r w:rsidR="00E95686" w:rsidRPr="00C411F0">
        <w:rPr>
          <w:color w:val="000000" w:themeColor="text1"/>
          <w:lang w:val="vi-VN"/>
        </w:rPr>
        <w:t xml:space="preserve">trường hợp </w:t>
      </w:r>
      <w:r w:rsidR="00FD2516" w:rsidRPr="00C411F0">
        <w:rPr>
          <w:color w:val="000000" w:themeColor="text1"/>
          <w:lang w:val="vi-VN"/>
        </w:rPr>
        <w:t>cụ thể;</w:t>
      </w:r>
      <w:r w:rsidR="00E95686" w:rsidRPr="00C411F0">
        <w:rPr>
          <w:color w:val="000000" w:themeColor="text1"/>
          <w:lang w:val="vi-VN"/>
        </w:rPr>
        <w:t xml:space="preserve"> </w:t>
      </w:r>
      <w:r w:rsidR="00FD2516" w:rsidRPr="00C411F0">
        <w:rPr>
          <w:color w:val="000000" w:themeColor="text1"/>
          <w:lang w:val="vi-VN"/>
        </w:rPr>
        <w:t>v</w:t>
      </w:r>
      <w:r w:rsidR="00E95686" w:rsidRPr="00C411F0">
        <w:rPr>
          <w:color w:val="000000" w:themeColor="text1"/>
          <w:lang w:val="vi-VN"/>
        </w:rPr>
        <w:t xml:space="preserve">í dụ </w:t>
      </w:r>
      <w:r w:rsidR="00FD2516" w:rsidRPr="00C411F0">
        <w:rPr>
          <w:color w:val="000000" w:themeColor="text1"/>
          <w:lang w:val="vi-VN"/>
        </w:rPr>
        <w:t xml:space="preserve">với trường hợp phát hành trái phiếu xanh (nhưng không được xác nhận dự án xanh), Nhà nước sẽ không bị mất khoảng </w:t>
      </w:r>
      <w:r w:rsidR="00FD2516" w:rsidRPr="00C411F0">
        <w:rPr>
          <w:b/>
          <w:bCs/>
          <w:i/>
          <w:iCs/>
          <w:color w:val="000000" w:themeColor="text1"/>
          <w:lang w:val="vi-VN"/>
        </w:rPr>
        <w:t>30 triệu đồng/</w:t>
      </w:r>
      <w:r w:rsidR="001C61C9" w:rsidRPr="00C411F0">
        <w:rPr>
          <w:b/>
          <w:bCs/>
          <w:i/>
          <w:iCs/>
          <w:color w:val="000000" w:themeColor="text1"/>
          <w:lang w:val="vi-VN"/>
        </w:rPr>
        <w:t>thành viên</w:t>
      </w:r>
      <w:r w:rsidR="001C61C9" w:rsidRPr="00C411F0">
        <w:rPr>
          <w:color w:val="000000" w:themeColor="text1"/>
          <w:lang w:val="vi-VN"/>
        </w:rPr>
        <w:t xml:space="preserve"> </w:t>
      </w:r>
      <w:r w:rsidR="00FD2516" w:rsidRPr="00C411F0">
        <w:rPr>
          <w:color w:val="000000" w:themeColor="text1"/>
          <w:lang w:val="vi-VN"/>
        </w:rPr>
        <w:t xml:space="preserve">do không phải ưu đãi, </w:t>
      </w:r>
      <w:r w:rsidR="001C61C9" w:rsidRPr="00C411F0">
        <w:rPr>
          <w:color w:val="000000" w:themeColor="text1"/>
          <w:lang w:val="vi-VN"/>
        </w:rPr>
        <w:t xml:space="preserve">giảm giá </w:t>
      </w:r>
      <w:r w:rsidR="00FD2516" w:rsidRPr="00C411F0">
        <w:rPr>
          <w:color w:val="000000" w:themeColor="text1"/>
          <w:lang w:val="vi-VN"/>
        </w:rPr>
        <w:t xml:space="preserve">các loại dịch vụ. </w:t>
      </w:r>
    </w:p>
    <w:p w14:paraId="5EBA4979" w14:textId="34C22D6D" w:rsidR="00AC7E57" w:rsidRPr="00C411F0" w:rsidRDefault="00B01EB4" w:rsidP="007054F5">
      <w:pPr>
        <w:widowControl w:val="0"/>
        <w:spacing w:before="120" w:line="276" w:lineRule="auto"/>
        <w:ind w:firstLine="720"/>
        <w:jc w:val="both"/>
        <w:rPr>
          <w:i/>
          <w:color w:val="000000" w:themeColor="text1"/>
          <w:highlight w:val="white"/>
          <w:lang w:val="vi-VN"/>
        </w:rPr>
      </w:pPr>
      <w:r w:rsidRPr="00C411F0">
        <w:rPr>
          <w:i/>
          <w:color w:val="000000" w:themeColor="text1"/>
          <w:highlight w:val="white"/>
          <w:lang w:val="vi-VN"/>
        </w:rPr>
        <w:t>- Tác động tiêu cực:</w:t>
      </w:r>
    </w:p>
    <w:p w14:paraId="185586A4" w14:textId="6DFFCAA6" w:rsidR="00B01EB4" w:rsidRPr="00C411F0" w:rsidRDefault="00333395"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 xml:space="preserve">Việc quy định </w:t>
      </w:r>
      <w:r w:rsidR="00144797" w:rsidRPr="00C411F0">
        <w:rPr>
          <w:color w:val="000000" w:themeColor="text1"/>
          <w:lang w:val="vi-VN"/>
        </w:rPr>
        <w:t xml:space="preserve">các hình thức </w:t>
      </w:r>
      <w:r w:rsidRPr="00C411F0">
        <w:rPr>
          <w:color w:val="000000" w:themeColor="text1"/>
          <w:lang w:val="vi-VN"/>
        </w:rPr>
        <w:t xml:space="preserve">ưu đãi, hỗ trợ đối với các tổ chức, cá nhân được xác nhận dự án xanh </w:t>
      </w:r>
      <w:r w:rsidR="00144797" w:rsidRPr="00C411F0">
        <w:rPr>
          <w:color w:val="000000" w:themeColor="text1"/>
          <w:lang w:val="vi-VN"/>
        </w:rPr>
        <w:t xml:space="preserve">nhằm </w:t>
      </w:r>
      <w:r w:rsidRPr="00C411F0">
        <w:rPr>
          <w:color w:val="000000" w:themeColor="text1"/>
          <w:lang w:val="vi-VN"/>
        </w:rPr>
        <w:t>mục đích</w:t>
      </w:r>
      <w:r w:rsidR="007566E2" w:rsidRPr="00C411F0">
        <w:rPr>
          <w:color w:val="000000" w:themeColor="text1"/>
          <w:lang w:val="vi-VN"/>
        </w:rPr>
        <w:t xml:space="preserve"> thu hút,</w:t>
      </w:r>
      <w:r w:rsidRPr="00C411F0">
        <w:rPr>
          <w:color w:val="000000" w:themeColor="text1"/>
          <w:lang w:val="vi-VN"/>
        </w:rPr>
        <w:t xml:space="preserve"> thúc đẩy các bên liên quan tham gia vào thị trường tín dụng xanh, trái phiếu xanh</w:t>
      </w:r>
      <w:r w:rsidR="007566E2" w:rsidRPr="00C411F0">
        <w:rPr>
          <w:color w:val="000000" w:themeColor="text1"/>
          <w:lang w:val="vi-VN"/>
        </w:rPr>
        <w:t xml:space="preserve">, qua đó huy động được nguồn vốn đầu tư tư nhân </w:t>
      </w:r>
      <w:r w:rsidR="00491630" w:rsidRPr="00C411F0">
        <w:rPr>
          <w:color w:val="000000" w:themeColor="text1"/>
          <w:lang w:val="vi-VN"/>
        </w:rPr>
        <w:t>vào thực hiện các mục tiêu môi trường, phát triển bền vững.</w:t>
      </w:r>
      <w:r w:rsidR="004F5838" w:rsidRPr="00C411F0">
        <w:rPr>
          <w:color w:val="000000" w:themeColor="text1"/>
          <w:lang w:val="vi-VN"/>
        </w:rPr>
        <w:t xml:space="preserve"> Như đã phân tích ở phần Chính sách 1, trường hợp thu hút được </w:t>
      </w:r>
      <w:r w:rsidR="008F298B" w:rsidRPr="00C411F0">
        <w:rPr>
          <w:color w:val="000000" w:themeColor="text1"/>
          <w:lang w:val="vi-VN"/>
        </w:rPr>
        <w:t xml:space="preserve">dòng vốn đầu tư tư nhân thấp (chẳng hạn chỉ đạt khoảng 20% so với yêu cầu), thì Nhà ước sẽ phải chịu bù hơn </w:t>
      </w:r>
      <w:r w:rsidR="008F298B" w:rsidRPr="00C411F0">
        <w:rPr>
          <w:b/>
          <w:bCs/>
          <w:i/>
          <w:iCs/>
          <w:color w:val="000000" w:themeColor="text1"/>
          <w:lang w:val="vi-VN"/>
        </w:rPr>
        <w:t>23,6 nghìn tỷ đồng</w:t>
      </w:r>
      <w:r w:rsidR="008F298B" w:rsidRPr="00C411F0">
        <w:rPr>
          <w:color w:val="000000" w:themeColor="text1"/>
          <w:lang w:val="vi-VN"/>
        </w:rPr>
        <w:t xml:space="preserve"> từ ngân sách nhà nước để thực hiện các biện pháp nhằm bảo đảm mục tiêu tăng trưởng xanh và phát triển bền vững.</w:t>
      </w:r>
    </w:p>
    <w:p w14:paraId="53D2E03E" w14:textId="5BF17E4B" w:rsidR="0078363D" w:rsidRPr="00C411F0" w:rsidRDefault="008F298B"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Đối với doanh nghiệp:</w:t>
      </w:r>
    </w:p>
    <w:p w14:paraId="0AFD8DF0" w14:textId="5A86DFEE" w:rsidR="0078363D" w:rsidRPr="00C411F0" w:rsidRDefault="0078363D" w:rsidP="007054F5">
      <w:pPr>
        <w:widowControl w:val="0"/>
        <w:spacing w:before="120" w:line="276" w:lineRule="auto"/>
        <w:ind w:firstLine="720"/>
        <w:jc w:val="both"/>
        <w:rPr>
          <w:i/>
          <w:color w:val="000000" w:themeColor="text1"/>
          <w:highlight w:val="white"/>
          <w:lang w:val="vi-VN"/>
        </w:rPr>
      </w:pPr>
      <w:r w:rsidRPr="00C411F0">
        <w:rPr>
          <w:i/>
          <w:color w:val="000000" w:themeColor="text1"/>
          <w:highlight w:val="white"/>
          <w:lang w:val="vi-VN"/>
        </w:rPr>
        <w:t>- Tác động tích cực:</w:t>
      </w:r>
    </w:p>
    <w:p w14:paraId="0349A1C1" w14:textId="05356791" w:rsidR="0078363D" w:rsidRPr="00C411F0" w:rsidRDefault="0078363D" w:rsidP="007054F5">
      <w:pPr>
        <w:widowControl w:val="0"/>
        <w:spacing w:before="120" w:line="276" w:lineRule="auto"/>
        <w:ind w:firstLine="720"/>
        <w:jc w:val="both"/>
        <w:rPr>
          <w:iCs/>
          <w:color w:val="000000" w:themeColor="text1"/>
          <w:highlight w:val="white"/>
          <w:lang w:val="vi-VN"/>
        </w:rPr>
      </w:pPr>
      <w:r w:rsidRPr="00C411F0">
        <w:rPr>
          <w:i/>
          <w:color w:val="000000" w:themeColor="text1"/>
          <w:highlight w:val="white"/>
          <w:lang w:val="vi-VN"/>
        </w:rPr>
        <w:t xml:space="preserve">+ </w:t>
      </w:r>
      <w:r w:rsidR="005B6451" w:rsidRPr="00C411F0">
        <w:rPr>
          <w:i/>
          <w:color w:val="000000" w:themeColor="text1"/>
          <w:highlight w:val="white"/>
          <w:lang w:val="vi-VN"/>
        </w:rPr>
        <w:t>Đối với chủ dự án đầu tư có nhu cầu xác nhận dự án xanh và chủ thể phát hành TPX là doanh nghiệp:</w:t>
      </w:r>
      <w:r w:rsidR="005B6451" w:rsidRPr="00C411F0">
        <w:rPr>
          <w:iCs/>
          <w:color w:val="000000" w:themeColor="text1"/>
          <w:highlight w:val="white"/>
          <w:lang w:val="vi-VN"/>
        </w:rPr>
        <w:t xml:space="preserve"> Với Phương án giữ nguyên hiện trạng (không quy định việc xác nhận dự án xanh), các đối tượng này tiết kiệm được thời gian, công sức và kinh phí bỏ ra để nghiên cứu, lập hồ sơ và thực hiện thủ tục có liên quan đến việc xác nhận dự án xanh. </w:t>
      </w:r>
      <w:r w:rsidR="00505EB6" w:rsidRPr="00C411F0">
        <w:rPr>
          <w:iCs/>
          <w:color w:val="000000" w:themeColor="text1"/>
          <w:highlight w:val="white"/>
          <w:lang w:val="vi-VN"/>
        </w:rPr>
        <w:t xml:space="preserve">Chi phí lập hồ sơ và thực hiện thủ tục xác nhận dự án xanh tạm tính là khoảng </w:t>
      </w:r>
      <w:r w:rsidR="00505EB6" w:rsidRPr="00C411F0">
        <w:rPr>
          <w:b/>
          <w:bCs/>
          <w:i/>
          <w:color w:val="000000" w:themeColor="text1"/>
          <w:highlight w:val="white"/>
          <w:lang w:val="vi-VN"/>
        </w:rPr>
        <w:t>1</w:t>
      </w:r>
      <w:r w:rsidR="008B7AE3" w:rsidRPr="009605FD">
        <w:rPr>
          <w:b/>
          <w:bCs/>
          <w:i/>
          <w:color w:val="000000" w:themeColor="text1"/>
          <w:highlight w:val="white"/>
          <w:lang w:val="vi-VN"/>
        </w:rPr>
        <w:t>5</w:t>
      </w:r>
      <w:r w:rsidR="00505EB6" w:rsidRPr="00C411F0">
        <w:rPr>
          <w:b/>
          <w:bCs/>
          <w:i/>
          <w:color w:val="000000" w:themeColor="text1"/>
          <w:highlight w:val="white"/>
          <w:lang w:val="vi-VN"/>
        </w:rPr>
        <w:t xml:space="preserve"> triệu đồng/hồ sơ</w:t>
      </w:r>
      <w:r w:rsidR="00505EB6" w:rsidRPr="00C411F0">
        <w:rPr>
          <w:rStyle w:val="FootnoteReference"/>
          <w:b/>
          <w:bCs/>
          <w:i/>
          <w:color w:val="000000" w:themeColor="text1"/>
          <w:highlight w:val="white"/>
          <w:lang w:val="vi-VN"/>
        </w:rPr>
        <w:footnoteReference w:id="18"/>
      </w:r>
      <w:r w:rsidR="00505EB6" w:rsidRPr="00C411F0">
        <w:rPr>
          <w:iCs/>
          <w:color w:val="000000" w:themeColor="text1"/>
          <w:highlight w:val="white"/>
          <w:lang w:val="vi-VN"/>
        </w:rPr>
        <w:t>.</w:t>
      </w:r>
    </w:p>
    <w:p w14:paraId="546D7206" w14:textId="4325F513" w:rsidR="00505EB6" w:rsidRPr="00C411F0" w:rsidRDefault="00505EB6" w:rsidP="007054F5">
      <w:pPr>
        <w:widowControl w:val="0"/>
        <w:spacing w:before="120" w:line="276" w:lineRule="auto"/>
        <w:ind w:firstLine="720"/>
        <w:jc w:val="both"/>
        <w:rPr>
          <w:i/>
          <w:color w:val="000000" w:themeColor="text1"/>
          <w:highlight w:val="white"/>
          <w:lang w:val="vi-VN"/>
        </w:rPr>
      </w:pPr>
      <w:r w:rsidRPr="00C411F0">
        <w:rPr>
          <w:i/>
          <w:color w:val="000000" w:themeColor="text1"/>
          <w:highlight w:val="white"/>
          <w:lang w:val="vi-VN"/>
        </w:rPr>
        <w:t xml:space="preserve">- Tác động tiêu cực: </w:t>
      </w:r>
    </w:p>
    <w:p w14:paraId="1D898137" w14:textId="77777777" w:rsidR="00E8310D" w:rsidRPr="00C411F0" w:rsidRDefault="006D7F03" w:rsidP="007054F5">
      <w:pPr>
        <w:widowControl w:val="0"/>
        <w:spacing w:before="120" w:line="276" w:lineRule="auto"/>
        <w:ind w:firstLine="720"/>
        <w:jc w:val="both"/>
        <w:rPr>
          <w:color w:val="000000" w:themeColor="text1"/>
          <w:lang w:val="vi-VN"/>
        </w:rPr>
      </w:pPr>
      <w:r w:rsidRPr="00C411F0">
        <w:rPr>
          <w:i/>
          <w:color w:val="000000" w:themeColor="text1"/>
          <w:highlight w:val="white"/>
          <w:lang w:val="vi-VN"/>
        </w:rPr>
        <w:lastRenderedPageBreak/>
        <w:t>+ Đối với chủ dự án đầu tư có nhu cầu xác nhận dự án xanh và chủ thể phát hành TPX là doanh nghiệp:</w:t>
      </w:r>
      <w:r w:rsidRPr="00C411F0">
        <w:rPr>
          <w:iCs/>
          <w:color w:val="000000" w:themeColor="text1"/>
          <w:highlight w:val="white"/>
          <w:lang w:val="vi-VN"/>
        </w:rPr>
        <w:t xml:space="preserve"> Mặc dù </w:t>
      </w:r>
      <w:r w:rsidR="00117999" w:rsidRPr="00C411F0">
        <w:rPr>
          <w:iCs/>
          <w:color w:val="000000" w:themeColor="text1"/>
          <w:highlight w:val="white"/>
          <w:lang w:val="vi-VN"/>
        </w:rPr>
        <w:t>tiết kiệm được khoản chi phí khi không phải lập hồ sơ và thực hiện thủ tục xác nhận dự án xanh (khoảng 10 triệu đồng/hồ sơ), nhưng đồng thời các đối tượng này cũng không có cơ hội để được hưởng các ưu đãi, hỗ trợ của nhà nước theo quy định</w:t>
      </w:r>
      <w:r w:rsidR="00570CE4" w:rsidRPr="00C411F0">
        <w:rPr>
          <w:iCs/>
          <w:color w:val="000000" w:themeColor="text1"/>
          <w:highlight w:val="white"/>
          <w:lang w:val="vi-VN"/>
        </w:rPr>
        <w:t>, cụ thể: chủ dự án đầu tư dự án xanh không có cơ hội được hưởng hỗ trợ lãi suất trực tiếp từ ngân sách nhà nước; chủ thể phát hành trái phiếu xanh không có cơ hội được giảm các chi phí dịch vụ về đăng ký niêm yết, quản lý niêm yết, giao dịch, đăng ký, lưu ký chứng khoán…, khộng có cơ hội được hưởng các ưu đãi về thuế thu nhập doanh nghiệp đối với các</w:t>
      </w:r>
      <w:r w:rsidR="00570CE4" w:rsidRPr="00C411F0">
        <w:rPr>
          <w:iCs/>
          <w:color w:val="000000" w:themeColor="text1"/>
          <w:lang w:val="vi-VN"/>
        </w:rPr>
        <w:t xml:space="preserve"> </w:t>
      </w:r>
      <w:r w:rsidR="00FA0629" w:rsidRPr="00C411F0">
        <w:rPr>
          <w:color w:val="000000" w:themeColor="text1"/>
          <w:lang w:val="vi-VN"/>
        </w:rPr>
        <w:t>nguồn thu nhập phát sinh từ trái phiếu xanh</w:t>
      </w:r>
      <w:r w:rsidR="00E8310D" w:rsidRPr="00C411F0">
        <w:rPr>
          <w:color w:val="000000" w:themeColor="text1"/>
          <w:lang w:val="vi-VN"/>
        </w:rPr>
        <w:t xml:space="preserve">. </w:t>
      </w:r>
    </w:p>
    <w:p w14:paraId="79D0F118" w14:textId="2CC4DB92" w:rsidR="007E48C4" w:rsidRPr="00C411F0" w:rsidRDefault="007E48C4" w:rsidP="007054F5">
      <w:pPr>
        <w:widowControl w:val="0"/>
        <w:spacing w:before="120" w:line="276" w:lineRule="auto"/>
        <w:ind w:firstLine="720"/>
        <w:jc w:val="both"/>
        <w:rPr>
          <w:color w:val="000000" w:themeColor="text1"/>
          <w:lang w:val="vi-VN"/>
        </w:rPr>
      </w:pPr>
      <w:r w:rsidRPr="00C411F0">
        <w:rPr>
          <w:color w:val="000000" w:themeColor="text1"/>
          <w:lang w:val="vi-VN"/>
        </w:rPr>
        <w:t>Đối với chủ dự án đầu tư, h</w:t>
      </w:r>
      <w:r w:rsidR="00E8310D" w:rsidRPr="00C411F0">
        <w:rPr>
          <w:color w:val="000000" w:themeColor="text1"/>
          <w:lang w:val="vi-VN"/>
        </w:rPr>
        <w:t>iện lãi suất vay tín dụng xanh tại các TCTD chỉ thấp hơn lãi suất vay thông thường 1-2%/năm</w:t>
      </w:r>
      <w:r w:rsidRPr="00C411F0">
        <w:rPr>
          <w:rStyle w:val="FootnoteReference"/>
          <w:color w:val="000000" w:themeColor="text1"/>
          <w:lang w:val="vi-VN"/>
        </w:rPr>
        <w:footnoteReference w:id="19"/>
      </w:r>
      <w:r w:rsidR="00E8310D" w:rsidRPr="00C411F0">
        <w:rPr>
          <w:color w:val="000000" w:themeColor="text1"/>
          <w:lang w:val="vi-VN"/>
        </w:rPr>
        <w:t xml:space="preserve">, do đó, việc mất cơ hội được hưởng hỗ trợ lãi suất trực tiếp từ ngân sách nhà nước đồng nghĩa với việc các chủ dự án đầu tư xanh mất </w:t>
      </w:r>
      <w:r w:rsidRPr="00C411F0">
        <w:rPr>
          <w:color w:val="000000" w:themeColor="text1"/>
          <w:lang w:val="vi-VN"/>
        </w:rPr>
        <w:t>đi khoản kinh phí hỗ trợ đáng giá để duy trì tiềm lực và mở rộng khả năng đầu tư.</w:t>
      </w:r>
    </w:p>
    <w:p w14:paraId="45E352B8" w14:textId="5AE23D29" w:rsidR="006D7F03" w:rsidRPr="00C411F0" w:rsidRDefault="007E48C4" w:rsidP="007054F5">
      <w:pPr>
        <w:widowControl w:val="0"/>
        <w:spacing w:before="120" w:line="276" w:lineRule="auto"/>
        <w:ind w:firstLine="720"/>
        <w:jc w:val="both"/>
        <w:rPr>
          <w:i/>
          <w:iCs/>
          <w:color w:val="000000" w:themeColor="text1"/>
          <w:lang w:val="vi-VN"/>
        </w:rPr>
      </w:pPr>
      <w:r w:rsidRPr="00C411F0">
        <w:rPr>
          <w:color w:val="000000" w:themeColor="text1"/>
          <w:lang w:val="vi-VN"/>
        </w:rPr>
        <w:t xml:space="preserve"> Đối với chủ thể phát hành trái phiếu xanh là doanh nghiệp, việc không được xác nhận dự án xanh đồng nghĩa với mất cơ hội giảm các chi phí dịch vụ</w:t>
      </w:r>
      <w:r w:rsidR="0050052F" w:rsidRPr="00C411F0">
        <w:rPr>
          <w:color w:val="000000" w:themeColor="text1"/>
          <w:lang w:val="vi-VN"/>
        </w:rPr>
        <w:t xml:space="preserve"> niêm yết, giao dịch, đăng ký, lưu ký chứng khoán (</w:t>
      </w:r>
      <w:r w:rsidR="0050052F" w:rsidRPr="00C411F0">
        <w:rPr>
          <w:b/>
          <w:bCs/>
          <w:i/>
          <w:iCs/>
          <w:color w:val="000000" w:themeColor="text1"/>
          <w:lang w:val="vi-VN"/>
        </w:rPr>
        <w:t>khoảng 20-30 triệu đồng/thành viên</w:t>
      </w:r>
      <w:r w:rsidR="0050052F" w:rsidRPr="00C411F0">
        <w:rPr>
          <w:color w:val="000000" w:themeColor="text1"/>
          <w:lang w:val="vi-VN"/>
        </w:rPr>
        <w:t>) và kh</w:t>
      </w:r>
      <w:r w:rsidR="0083030A">
        <w:rPr>
          <w:color w:val="000000" w:themeColor="text1"/>
          <w:lang w:val="vi-VN"/>
        </w:rPr>
        <w:t>ô</w:t>
      </w:r>
      <w:r w:rsidR="0050052F" w:rsidRPr="00C411F0">
        <w:rPr>
          <w:color w:val="000000" w:themeColor="text1"/>
          <w:lang w:val="vi-VN"/>
        </w:rPr>
        <w:t xml:space="preserve">ng được hưởng ưu đãi về thuế thu nhập đối với các nguồn thu nhập phát sinh từ trái phiếu xanh. </w:t>
      </w:r>
      <w:r w:rsidR="00E9709C" w:rsidRPr="00C411F0">
        <w:rPr>
          <w:color w:val="000000" w:themeColor="text1"/>
          <w:lang w:val="vi-VN"/>
        </w:rPr>
        <w:t>Ngoài ra</w:t>
      </w:r>
      <w:r w:rsidR="00C735CB" w:rsidRPr="00C411F0">
        <w:rPr>
          <w:color w:val="000000" w:themeColor="text1"/>
          <w:lang w:val="vi-VN"/>
        </w:rPr>
        <w:t xml:space="preserve">, khi có giấy chứng nhận đối với dự án xanh (có tính pháp lý), mức độ bảo đảm độ tin cậy </w:t>
      </w:r>
      <w:r w:rsidR="00E9709C" w:rsidRPr="00C411F0">
        <w:rPr>
          <w:color w:val="000000" w:themeColor="text1"/>
          <w:lang w:val="vi-VN"/>
        </w:rPr>
        <w:t xml:space="preserve">đối với dự án </w:t>
      </w:r>
      <w:r w:rsidR="00C735CB" w:rsidRPr="00C411F0">
        <w:rPr>
          <w:color w:val="000000" w:themeColor="text1"/>
          <w:lang w:val="vi-VN"/>
        </w:rPr>
        <w:t>sẽ cao hơn</w:t>
      </w:r>
      <w:r w:rsidR="00E9709C" w:rsidRPr="00C411F0">
        <w:rPr>
          <w:color w:val="000000" w:themeColor="text1"/>
          <w:lang w:val="vi-VN"/>
        </w:rPr>
        <w:t>,</w:t>
      </w:r>
      <w:r w:rsidR="00C735CB" w:rsidRPr="00C411F0">
        <w:rPr>
          <w:color w:val="000000" w:themeColor="text1"/>
          <w:lang w:val="vi-VN"/>
        </w:rPr>
        <w:t xml:space="preserve"> cơ hội huy động, thu hút nguồn vốn từ các nhà đầu tư của chủ thể phát hành trái phiếu xanh cũng sẽ cao hơn. Như vậy, </w:t>
      </w:r>
      <w:r w:rsidR="00E9709C" w:rsidRPr="00C411F0">
        <w:rPr>
          <w:color w:val="000000" w:themeColor="text1"/>
          <w:lang w:val="vi-VN"/>
        </w:rPr>
        <w:t xml:space="preserve">sơ bộ </w:t>
      </w:r>
      <w:r w:rsidR="00C735CB" w:rsidRPr="00C411F0">
        <w:rPr>
          <w:color w:val="000000" w:themeColor="text1"/>
          <w:lang w:val="vi-VN"/>
        </w:rPr>
        <w:t xml:space="preserve">có thể thấy </w:t>
      </w:r>
      <w:r w:rsidR="00C735CB" w:rsidRPr="00C411F0">
        <w:rPr>
          <w:i/>
          <w:iCs/>
          <w:color w:val="000000" w:themeColor="text1"/>
          <w:lang w:val="vi-VN"/>
        </w:rPr>
        <w:t>k</w:t>
      </w:r>
      <w:r w:rsidR="0050052F" w:rsidRPr="00C411F0">
        <w:rPr>
          <w:i/>
          <w:iCs/>
          <w:color w:val="000000" w:themeColor="text1"/>
          <w:lang w:val="vi-VN"/>
        </w:rPr>
        <w:t xml:space="preserve">hoản </w:t>
      </w:r>
      <w:r w:rsidR="00C735CB" w:rsidRPr="00C411F0">
        <w:rPr>
          <w:i/>
          <w:iCs/>
          <w:color w:val="000000" w:themeColor="text1"/>
          <w:lang w:val="vi-VN"/>
        </w:rPr>
        <w:t xml:space="preserve">chi phí cơ hội </w:t>
      </w:r>
      <w:r w:rsidR="0050052F" w:rsidRPr="00C411F0">
        <w:rPr>
          <w:i/>
          <w:iCs/>
          <w:color w:val="000000" w:themeColor="text1"/>
          <w:lang w:val="vi-VN"/>
        </w:rPr>
        <w:t xml:space="preserve">bị mất </w:t>
      </w:r>
      <w:r w:rsidR="00C735CB" w:rsidRPr="00C411F0">
        <w:rPr>
          <w:i/>
          <w:iCs/>
          <w:color w:val="000000" w:themeColor="text1"/>
          <w:lang w:val="vi-VN"/>
        </w:rPr>
        <w:t xml:space="preserve">đi của </w:t>
      </w:r>
      <w:r w:rsidR="00E9709C" w:rsidRPr="00C411F0">
        <w:rPr>
          <w:i/>
          <w:iCs/>
          <w:color w:val="000000" w:themeColor="text1"/>
          <w:lang w:val="vi-VN"/>
        </w:rPr>
        <w:t>chủ thể phát hành trái phiếu xanh</w:t>
      </w:r>
      <w:r w:rsidR="00C735CB" w:rsidRPr="00C411F0">
        <w:rPr>
          <w:i/>
          <w:iCs/>
          <w:color w:val="000000" w:themeColor="text1"/>
          <w:lang w:val="vi-VN"/>
        </w:rPr>
        <w:t xml:space="preserve"> </w:t>
      </w:r>
      <w:r w:rsidR="00E9709C" w:rsidRPr="00C411F0">
        <w:rPr>
          <w:i/>
          <w:iCs/>
          <w:color w:val="000000" w:themeColor="text1"/>
          <w:lang w:val="vi-VN"/>
        </w:rPr>
        <w:t xml:space="preserve">sẽ </w:t>
      </w:r>
      <w:r w:rsidR="0050052F" w:rsidRPr="00C411F0">
        <w:rPr>
          <w:i/>
          <w:iCs/>
          <w:color w:val="000000" w:themeColor="text1"/>
          <w:lang w:val="vi-VN"/>
        </w:rPr>
        <w:t xml:space="preserve">cao hơn rất nhiều lần so với khoản </w:t>
      </w:r>
      <w:r w:rsidR="00C735CB" w:rsidRPr="00C411F0">
        <w:rPr>
          <w:i/>
          <w:iCs/>
          <w:color w:val="000000" w:themeColor="text1"/>
          <w:lang w:val="vi-VN"/>
        </w:rPr>
        <w:t xml:space="preserve">chi </w:t>
      </w:r>
      <w:r w:rsidR="0050052F" w:rsidRPr="00C411F0">
        <w:rPr>
          <w:i/>
          <w:iCs/>
          <w:color w:val="000000" w:themeColor="text1"/>
          <w:lang w:val="vi-VN"/>
        </w:rPr>
        <w:t>phí đầu tư cho việc xác nhận dự án xanh.</w:t>
      </w:r>
    </w:p>
    <w:p w14:paraId="749EE58D" w14:textId="20E4E1B5" w:rsidR="0050052F" w:rsidRPr="00C411F0" w:rsidRDefault="0050052F" w:rsidP="007054F5">
      <w:pPr>
        <w:widowControl w:val="0"/>
        <w:spacing w:before="120" w:line="276" w:lineRule="auto"/>
        <w:ind w:firstLine="720"/>
        <w:jc w:val="both"/>
        <w:rPr>
          <w:iCs/>
          <w:color w:val="000000" w:themeColor="text1"/>
          <w:spacing w:val="-2"/>
          <w:highlight w:val="white"/>
          <w:lang w:val="vi-VN"/>
        </w:rPr>
      </w:pPr>
      <w:r w:rsidRPr="00C411F0">
        <w:rPr>
          <w:iCs/>
          <w:color w:val="000000" w:themeColor="text1"/>
          <w:spacing w:val="-2"/>
          <w:highlight w:val="white"/>
          <w:lang w:val="vi-VN"/>
        </w:rPr>
        <w:t xml:space="preserve">+ </w:t>
      </w:r>
      <w:r w:rsidRPr="00C411F0">
        <w:rPr>
          <w:i/>
          <w:color w:val="000000" w:themeColor="text1"/>
          <w:spacing w:val="-2"/>
          <w:highlight w:val="white"/>
          <w:lang w:val="vi-VN"/>
        </w:rPr>
        <w:t>Đối với tổ chức đáp ứng được yêu cầu, tiêu chí là tổ chức thẩm định độc lập dự án xanh</w:t>
      </w:r>
      <w:r w:rsidRPr="00C411F0">
        <w:rPr>
          <w:iCs/>
          <w:color w:val="000000" w:themeColor="text1"/>
          <w:spacing w:val="-2"/>
          <w:highlight w:val="white"/>
          <w:lang w:val="vi-VN"/>
        </w:rPr>
        <w:t xml:space="preserve">:  Với phương án </w:t>
      </w:r>
      <w:r w:rsidR="00AD12B2" w:rsidRPr="00C411F0">
        <w:rPr>
          <w:iCs/>
          <w:color w:val="000000" w:themeColor="text1"/>
          <w:spacing w:val="-2"/>
          <w:highlight w:val="white"/>
          <w:lang w:val="vi-VN"/>
        </w:rPr>
        <w:t>0</w:t>
      </w:r>
      <w:r w:rsidRPr="00C411F0">
        <w:rPr>
          <w:iCs/>
          <w:color w:val="000000" w:themeColor="text1"/>
          <w:spacing w:val="-2"/>
          <w:highlight w:val="white"/>
          <w:lang w:val="vi-VN"/>
        </w:rPr>
        <w:t xml:space="preserve">, các tổ chức đáp ứng được yêu cầu, tiêu chí là tổ chức thẩm định độc lập dự án xanh (phương án </w:t>
      </w:r>
      <w:r w:rsidR="00AD12B2" w:rsidRPr="00C411F0">
        <w:rPr>
          <w:iCs/>
          <w:color w:val="000000" w:themeColor="text1"/>
          <w:spacing w:val="-2"/>
          <w:highlight w:val="white"/>
          <w:lang w:val="vi-VN"/>
        </w:rPr>
        <w:t>3</w:t>
      </w:r>
      <w:r w:rsidRPr="00C411F0">
        <w:rPr>
          <w:iCs/>
          <w:color w:val="000000" w:themeColor="text1"/>
          <w:spacing w:val="-2"/>
          <w:highlight w:val="white"/>
          <w:lang w:val="vi-VN"/>
        </w:rPr>
        <w:t xml:space="preserve">) không có cơ hội tham gia vào hoạt động </w:t>
      </w:r>
      <w:r w:rsidR="007412FB" w:rsidRPr="00C411F0">
        <w:rPr>
          <w:iCs/>
          <w:color w:val="000000" w:themeColor="text1"/>
          <w:spacing w:val="-2"/>
          <w:highlight w:val="white"/>
          <w:lang w:val="vi-VN"/>
        </w:rPr>
        <w:t>này, không được mở rộng thị trường hoạt động và nguồn doanh thu.</w:t>
      </w:r>
    </w:p>
    <w:p w14:paraId="148D4ABF" w14:textId="63D255D2" w:rsidR="00570CE4" w:rsidRPr="00C411F0" w:rsidRDefault="007412FB" w:rsidP="007054F5">
      <w:pPr>
        <w:widowControl w:val="0"/>
        <w:spacing w:before="120" w:line="276" w:lineRule="auto"/>
        <w:ind w:firstLine="720"/>
        <w:jc w:val="both"/>
        <w:rPr>
          <w:iCs/>
          <w:color w:val="000000" w:themeColor="text1"/>
          <w:highlight w:val="white"/>
          <w:lang w:val="vi-VN"/>
        </w:rPr>
      </w:pPr>
      <w:r w:rsidRPr="00C411F0">
        <w:rPr>
          <w:i/>
          <w:color w:val="000000" w:themeColor="text1"/>
          <w:highlight w:val="white"/>
          <w:lang w:val="vi-VN"/>
        </w:rPr>
        <w:t>+ Đối với các TCTD:</w:t>
      </w:r>
      <w:r w:rsidRPr="00C411F0">
        <w:rPr>
          <w:iCs/>
          <w:color w:val="000000" w:themeColor="text1"/>
          <w:highlight w:val="white"/>
          <w:lang w:val="vi-VN"/>
        </w:rPr>
        <w:t xml:space="preserve"> trường hợp chủ dự án đã có xác nhận dự án xanh đến vay vốn, các TCTD sẽ tiết kiệm được thời gian, công sức, chi phí vì không phải thẩm định, xác định tính xanh của các dự án này như quy trình bình thường.</w:t>
      </w:r>
    </w:p>
    <w:p w14:paraId="0EA07656" w14:textId="4A878867" w:rsidR="007412FB" w:rsidRPr="00C411F0" w:rsidRDefault="007412FB"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Đối với người dân:</w:t>
      </w:r>
    </w:p>
    <w:p w14:paraId="5AE21398" w14:textId="48C26305" w:rsidR="005B6451" w:rsidRPr="00C411F0" w:rsidRDefault="00E9709C" w:rsidP="007054F5">
      <w:pPr>
        <w:widowControl w:val="0"/>
        <w:spacing w:before="120" w:line="271" w:lineRule="auto"/>
        <w:jc w:val="both"/>
        <w:rPr>
          <w:iCs/>
          <w:color w:val="000000" w:themeColor="text1"/>
          <w:highlight w:val="white"/>
          <w:lang w:val="vi-VN"/>
        </w:rPr>
      </w:pPr>
      <w:r w:rsidRPr="00C411F0">
        <w:rPr>
          <w:iCs/>
          <w:color w:val="000000" w:themeColor="text1"/>
          <w:highlight w:val="white"/>
          <w:lang w:val="vi-VN"/>
        </w:rPr>
        <w:tab/>
      </w:r>
      <w:r w:rsidR="007D1CB8" w:rsidRPr="00C411F0">
        <w:rPr>
          <w:iCs/>
          <w:color w:val="000000" w:themeColor="text1"/>
          <w:highlight w:val="white"/>
          <w:lang w:val="vi-VN"/>
        </w:rPr>
        <w:t>- Tác động tích cực: Phương án này không có tác động tích cực đối với người dân.</w:t>
      </w:r>
    </w:p>
    <w:p w14:paraId="645D82CB" w14:textId="12A7AB75" w:rsidR="007D1CB8" w:rsidRPr="00C411F0" w:rsidRDefault="007D1CB8" w:rsidP="007054F5">
      <w:pPr>
        <w:widowControl w:val="0"/>
        <w:spacing w:before="120" w:line="271" w:lineRule="auto"/>
        <w:jc w:val="both"/>
        <w:rPr>
          <w:iCs/>
          <w:color w:val="000000" w:themeColor="text1"/>
          <w:highlight w:val="white"/>
          <w:lang w:val="vi-VN"/>
        </w:rPr>
      </w:pPr>
      <w:r w:rsidRPr="00C411F0">
        <w:rPr>
          <w:iCs/>
          <w:color w:val="000000" w:themeColor="text1"/>
          <w:highlight w:val="white"/>
          <w:lang w:val="vi-VN"/>
        </w:rPr>
        <w:lastRenderedPageBreak/>
        <w:tab/>
        <w:t xml:space="preserve">- Tác động tiêu cực: </w:t>
      </w:r>
      <w:r w:rsidR="005A7D83" w:rsidRPr="00C411F0">
        <w:rPr>
          <w:iCs/>
          <w:color w:val="000000" w:themeColor="text1"/>
          <w:highlight w:val="white"/>
          <w:lang w:val="vi-VN"/>
        </w:rPr>
        <w:t xml:space="preserve">Các cơ hội được hưởng ưu đãi, hỗ trợ của Nhà nước khi xác nhận dự án xanh sẽ là động lực thúc đẩy các tổ chức, cá nhân đầu tư vào các dự án xanh. Khi này, người dân là đối tượng được thụ hưởng gián tiếp khi chất lượng môi trường nói riêng và môi trường sống nói chung được cải thiện, nâng cấp. Như vậy việc không có thủ tục xác nhận dự án xanh (Phương án </w:t>
      </w:r>
      <w:r w:rsidR="00AD12B2" w:rsidRPr="00C411F0">
        <w:rPr>
          <w:iCs/>
          <w:color w:val="000000" w:themeColor="text1"/>
          <w:highlight w:val="white"/>
          <w:lang w:val="vi-VN"/>
        </w:rPr>
        <w:t>0</w:t>
      </w:r>
      <w:r w:rsidR="005A7D83" w:rsidRPr="00C411F0">
        <w:rPr>
          <w:iCs/>
          <w:color w:val="000000" w:themeColor="text1"/>
          <w:highlight w:val="white"/>
          <w:lang w:val="vi-VN"/>
        </w:rPr>
        <w:t>) cũng sẽ gián tiếp tác động tiêu cực đến yếu tố kinh tế của người dân.</w:t>
      </w:r>
    </w:p>
    <w:p w14:paraId="3B84C4C5" w14:textId="31B3B42A" w:rsidR="005A7D83" w:rsidRPr="00C411F0" w:rsidRDefault="00C37EDF" w:rsidP="007054F5">
      <w:pPr>
        <w:widowControl w:val="0"/>
        <w:spacing w:before="120" w:line="271" w:lineRule="auto"/>
        <w:ind w:firstLine="720"/>
        <w:jc w:val="both"/>
        <w:rPr>
          <w:b/>
          <w:bCs/>
          <w:i/>
          <w:color w:val="000000" w:themeColor="text1"/>
          <w:highlight w:val="white"/>
          <w:lang w:val="vi-VN"/>
        </w:rPr>
      </w:pPr>
      <w:r w:rsidRPr="00C411F0">
        <w:rPr>
          <w:b/>
          <w:bCs/>
          <w:i/>
          <w:color w:val="000000" w:themeColor="text1"/>
          <w:highlight w:val="white"/>
          <w:lang w:val="nl-NL"/>
        </w:rPr>
        <w:t>b</w:t>
      </w:r>
      <w:r w:rsidR="005A7D83" w:rsidRPr="00C411F0">
        <w:rPr>
          <w:b/>
          <w:bCs/>
          <w:i/>
          <w:color w:val="000000" w:themeColor="text1"/>
          <w:highlight w:val="white"/>
          <w:lang w:val="vi-VN"/>
        </w:rPr>
        <w:t>)</w:t>
      </w:r>
      <w:r w:rsidR="005A7D83" w:rsidRPr="00C411F0">
        <w:rPr>
          <w:b/>
          <w:bCs/>
          <w:i/>
          <w:color w:val="000000" w:themeColor="text1"/>
          <w:highlight w:val="white"/>
          <w:lang w:val="nl-NL"/>
        </w:rPr>
        <w:t xml:space="preserve"> Tác động về xã</w:t>
      </w:r>
      <w:r w:rsidR="005A7D83" w:rsidRPr="00C411F0">
        <w:rPr>
          <w:b/>
          <w:bCs/>
          <w:i/>
          <w:color w:val="000000" w:themeColor="text1"/>
          <w:highlight w:val="white"/>
          <w:lang w:val="vi-VN"/>
        </w:rPr>
        <w:t xml:space="preserve"> hội:</w:t>
      </w:r>
    </w:p>
    <w:p w14:paraId="6F7D9FEA" w14:textId="77777777" w:rsidR="005A7D83" w:rsidRPr="00C411F0" w:rsidRDefault="005A7D83" w:rsidP="007054F5">
      <w:pPr>
        <w:widowControl w:val="0"/>
        <w:spacing w:before="120" w:line="271" w:lineRule="auto"/>
        <w:ind w:firstLine="720"/>
        <w:jc w:val="both"/>
        <w:rPr>
          <w:b/>
          <w:bCs/>
          <w:i/>
          <w:color w:val="000000" w:themeColor="text1"/>
          <w:highlight w:val="white"/>
          <w:lang w:val="vi-VN"/>
        </w:rPr>
      </w:pPr>
      <w:r w:rsidRPr="00C411F0">
        <w:rPr>
          <w:b/>
          <w:bCs/>
          <w:i/>
          <w:color w:val="000000" w:themeColor="text1"/>
          <w:highlight w:val="white"/>
          <w:lang w:val="vi-VN"/>
        </w:rPr>
        <w:t xml:space="preserve">* Đối với Nhà nước: </w:t>
      </w:r>
    </w:p>
    <w:p w14:paraId="2326F200" w14:textId="7BD0049A" w:rsidR="00922E90" w:rsidRPr="00C411F0" w:rsidRDefault="005A7D83" w:rsidP="007054F5">
      <w:pPr>
        <w:widowControl w:val="0"/>
        <w:tabs>
          <w:tab w:val="right" w:leader="dot" w:pos="7920"/>
        </w:tabs>
        <w:spacing w:before="120" w:line="271" w:lineRule="auto"/>
        <w:ind w:firstLine="720"/>
        <w:jc w:val="both"/>
        <w:rPr>
          <w:color w:val="000000" w:themeColor="text1"/>
          <w:lang w:val="vi-VN"/>
        </w:rPr>
      </w:pPr>
      <w:r w:rsidRPr="00C411F0">
        <w:rPr>
          <w:i/>
          <w:iCs/>
          <w:color w:val="000000" w:themeColor="text1"/>
          <w:lang w:val="vi-VN"/>
        </w:rPr>
        <w:t>- Tác động tích cực:</w:t>
      </w:r>
      <w:r w:rsidRPr="00C411F0">
        <w:rPr>
          <w:color w:val="000000" w:themeColor="text1"/>
          <w:lang w:val="vi-VN"/>
        </w:rPr>
        <w:t xml:space="preserve"> </w:t>
      </w:r>
      <w:r w:rsidR="00817611" w:rsidRPr="00C411F0">
        <w:rPr>
          <w:color w:val="000000" w:themeColor="text1"/>
          <w:lang w:val="vi-VN"/>
        </w:rPr>
        <w:t>Ở một mặt nào đó, v</w:t>
      </w:r>
      <w:r w:rsidR="0089549C" w:rsidRPr="00C411F0">
        <w:rPr>
          <w:color w:val="000000" w:themeColor="text1"/>
          <w:lang w:val="vi-VN"/>
        </w:rPr>
        <w:t xml:space="preserve">iệc không quy định thủ tục xác nhận dự án xanh </w:t>
      </w:r>
      <w:r w:rsidR="00817611" w:rsidRPr="00C411F0">
        <w:rPr>
          <w:color w:val="000000" w:themeColor="text1"/>
          <w:lang w:val="vi-VN"/>
        </w:rPr>
        <w:t xml:space="preserve">sẽ không làm phát sinh thủ tục hành chính, giảm thiểu gánh nặng TTHC cho các tổ chức, cá nhân. Ngoài ra, việc không quy định thủ tục xác nhận dự án xanh cũng sẽ tránh được trường hợp dự án đã được cơ quan nhà nước có thẩm quyền thẩm định, xác nhận là dự án xanh (Phương án </w:t>
      </w:r>
      <w:r w:rsidR="00AD12B2" w:rsidRPr="00C411F0">
        <w:rPr>
          <w:color w:val="000000" w:themeColor="text1"/>
          <w:lang w:val="vi-VN"/>
        </w:rPr>
        <w:t>2</w:t>
      </w:r>
      <w:r w:rsidR="00817611" w:rsidRPr="00C411F0">
        <w:rPr>
          <w:color w:val="000000" w:themeColor="text1"/>
          <w:lang w:val="vi-VN"/>
        </w:rPr>
        <w:t xml:space="preserve">) nhưng khi triển khai trên thực tế không hoàn toàn xanh như cam kết (các dự án “green washing”). Với các lợi thế này, Phương án </w:t>
      </w:r>
      <w:r w:rsidR="00AD12B2" w:rsidRPr="00C411F0">
        <w:rPr>
          <w:color w:val="000000" w:themeColor="text1"/>
          <w:lang w:val="vi-VN"/>
        </w:rPr>
        <w:t>0</w:t>
      </w:r>
      <w:r w:rsidR="00817611" w:rsidRPr="00C411F0">
        <w:rPr>
          <w:color w:val="000000" w:themeColor="text1"/>
          <w:lang w:val="vi-VN"/>
        </w:rPr>
        <w:t xml:space="preserve"> không làm giảm sút uy tín của Nhà nước.</w:t>
      </w:r>
    </w:p>
    <w:p w14:paraId="1BF520F4" w14:textId="178C8A35" w:rsidR="00817611" w:rsidRPr="00C411F0" w:rsidRDefault="00817611" w:rsidP="007054F5">
      <w:pPr>
        <w:widowControl w:val="0"/>
        <w:tabs>
          <w:tab w:val="right" w:leader="dot" w:pos="7920"/>
        </w:tabs>
        <w:spacing w:before="120" w:line="271" w:lineRule="auto"/>
        <w:ind w:firstLine="720"/>
        <w:jc w:val="both"/>
        <w:rPr>
          <w:color w:val="000000" w:themeColor="text1"/>
          <w:lang w:val="vi-VN"/>
        </w:rPr>
      </w:pPr>
      <w:r w:rsidRPr="00C411F0">
        <w:rPr>
          <w:i/>
          <w:iCs/>
          <w:color w:val="000000" w:themeColor="text1"/>
          <w:lang w:val="vi-VN"/>
        </w:rPr>
        <w:t xml:space="preserve">- Tác động </w:t>
      </w:r>
      <w:r w:rsidR="00B56DC7" w:rsidRPr="00C411F0">
        <w:rPr>
          <w:i/>
          <w:iCs/>
          <w:color w:val="000000" w:themeColor="text1"/>
          <w:lang w:val="vi-VN"/>
        </w:rPr>
        <w:t xml:space="preserve">tiêu </w:t>
      </w:r>
      <w:r w:rsidRPr="00C411F0">
        <w:rPr>
          <w:i/>
          <w:iCs/>
          <w:color w:val="000000" w:themeColor="text1"/>
          <w:lang w:val="vi-VN"/>
        </w:rPr>
        <w:t>cực:</w:t>
      </w:r>
      <w:r w:rsidRPr="00C411F0">
        <w:rPr>
          <w:color w:val="000000" w:themeColor="text1"/>
          <w:lang w:val="vi-VN"/>
        </w:rPr>
        <w:t xml:space="preserve"> </w:t>
      </w:r>
      <w:r w:rsidR="00B56DC7" w:rsidRPr="00C411F0">
        <w:rPr>
          <w:color w:val="000000" w:themeColor="text1"/>
          <w:lang w:val="vi-VN"/>
        </w:rPr>
        <w:t xml:space="preserve">Nếu thực hiện Phương án </w:t>
      </w:r>
      <w:r w:rsidR="00AD12B2" w:rsidRPr="00C411F0">
        <w:rPr>
          <w:color w:val="000000" w:themeColor="text1"/>
          <w:lang w:val="vi-VN"/>
        </w:rPr>
        <w:t>0</w:t>
      </w:r>
      <w:r w:rsidR="00B56DC7" w:rsidRPr="00C411F0">
        <w:rPr>
          <w:color w:val="000000" w:themeColor="text1"/>
          <w:lang w:val="vi-VN"/>
        </w:rPr>
        <w:t>, cũng đồng nghĩa với việc không bảo đảm tính đồng bộ trong các quy định pháp luật vì hiện nay việc xác nhận dự án xanh để được hưởng ưu đãi, hỗ trợ của Nhà nước đã được quy định trong Nghị định. Điều này, cũng dẫn đến tình huống Nhà nước “hứa (ưu đãi, hỗ trợ) mà không trao cơ hội, điều kiện để thực hiện”, về lâu dài và xét toàn diện sẽ làm giảm hiệu lực, hiệu quả của chính sách tín dụng xanh, trái phiếu xanh do chính Nhà nước đưa ra. Khi này, uy tín của Nhà nước sẽ bị ảnh hưởng cả trong và ngoài nước.</w:t>
      </w:r>
    </w:p>
    <w:p w14:paraId="1917F4E5" w14:textId="77777777" w:rsidR="00462225" w:rsidRPr="00C411F0" w:rsidRDefault="00462225"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Đối với doanh nghiệp:</w:t>
      </w:r>
    </w:p>
    <w:p w14:paraId="471AC73D" w14:textId="1C8C43E5" w:rsidR="00462225" w:rsidRPr="00C411F0" w:rsidRDefault="008D024D"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Việc lựa chọn có thực hiện xác nhận dự án xanh để hưởng ưu đãi, hỗ trợ của Nhà nước không là quyền của tổ chức, cá nhân.</w:t>
      </w:r>
      <w:r w:rsidR="00C65663" w:rsidRPr="00C411F0">
        <w:rPr>
          <w:color w:val="000000" w:themeColor="text1"/>
          <w:lang w:val="vi-VN"/>
        </w:rPr>
        <w:t xml:space="preserve"> Tổ chức, cá nhân có quyền tự cân nhắc, đánh giá chi phí – lợi ích trên nhu cầu thực tế để đề nghị xác nhận dự án xanh hoặc không. Trong nhiều trường hợp, việc được cơ quan có thẩm quyền (Phương án </w:t>
      </w:r>
      <w:r w:rsidR="00AD12B2" w:rsidRPr="00C411F0">
        <w:rPr>
          <w:color w:val="000000" w:themeColor="text1"/>
          <w:lang w:val="vi-VN"/>
        </w:rPr>
        <w:t>1</w:t>
      </w:r>
      <w:r w:rsidR="00C65663" w:rsidRPr="00C411F0">
        <w:rPr>
          <w:color w:val="000000" w:themeColor="text1"/>
          <w:lang w:val="vi-VN"/>
        </w:rPr>
        <w:t xml:space="preserve"> </w:t>
      </w:r>
      <w:r w:rsidR="00F9652A" w:rsidRPr="00C411F0">
        <w:rPr>
          <w:color w:val="000000" w:themeColor="text1"/>
          <w:lang w:val="vi-VN"/>
        </w:rPr>
        <w:t xml:space="preserve">và </w:t>
      </w:r>
      <w:r w:rsidR="00AD12B2" w:rsidRPr="00C411F0">
        <w:rPr>
          <w:color w:val="000000" w:themeColor="text1"/>
          <w:lang w:val="vi-VN"/>
        </w:rPr>
        <w:t>2</w:t>
      </w:r>
      <w:r w:rsidR="00C65663" w:rsidRPr="00C411F0">
        <w:rPr>
          <w:color w:val="000000" w:themeColor="text1"/>
          <w:lang w:val="vi-VN"/>
        </w:rPr>
        <w:t xml:space="preserve">) xác nhận dự án xanh không những đem lại lợi ích kinh tế cho doanh nghiệp, mà còn nâng vị thế cho doanh nghiệp. Do đó, trong 03 Phương án đề xuất, đối với doanh nghiệp, xét trên yếu tố xã hội, thì Phương án </w:t>
      </w:r>
      <w:r w:rsidR="00AD12B2" w:rsidRPr="00C411F0">
        <w:rPr>
          <w:color w:val="000000" w:themeColor="text1"/>
          <w:lang w:val="vi-VN"/>
        </w:rPr>
        <w:t>0</w:t>
      </w:r>
      <w:r w:rsidR="00C65663" w:rsidRPr="00C411F0">
        <w:rPr>
          <w:color w:val="000000" w:themeColor="text1"/>
          <w:lang w:val="vi-VN"/>
        </w:rPr>
        <w:t xml:space="preserve"> là phương án có tác động tính tiêu cực cao nhất vì tước đi quyền, lợi ích của doanh nghiệp.</w:t>
      </w:r>
    </w:p>
    <w:p w14:paraId="1E008485" w14:textId="57A38692" w:rsidR="00C65663" w:rsidRPr="00C411F0" w:rsidRDefault="00FD3D89"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Đối với môi trường:</w:t>
      </w:r>
    </w:p>
    <w:p w14:paraId="3CAAF0A9" w14:textId="11EFC825" w:rsidR="005E5BF7" w:rsidRPr="00C411F0" w:rsidRDefault="00E657FA"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 xml:space="preserve">Việc xác nhận dự án xanh để hưởng ưu đãi, hỗ trợ của Nhà nước sẽ kích thích các tổ chức, cá nhân tham gia vào thị trường tín dụng xanh, trái phiếu xanh. Hơn nữa, việc thẩm định, đánh giá, xác nhận dự án xanh </w:t>
      </w:r>
      <w:r w:rsidR="00F9652A" w:rsidRPr="00C411F0">
        <w:rPr>
          <w:color w:val="000000" w:themeColor="text1"/>
          <w:lang w:val="vi-VN"/>
        </w:rPr>
        <w:t xml:space="preserve">được thực hiện bởi các cơ quan, tổ chức có năng lực (Phương án </w:t>
      </w:r>
      <w:r w:rsidR="00AD12B2" w:rsidRPr="00C411F0">
        <w:rPr>
          <w:color w:val="000000" w:themeColor="text1"/>
          <w:lang w:val="vi-VN"/>
        </w:rPr>
        <w:t>1, 2</w:t>
      </w:r>
      <w:r w:rsidR="00F9652A" w:rsidRPr="00C411F0">
        <w:rPr>
          <w:color w:val="000000" w:themeColor="text1"/>
          <w:lang w:val="vi-VN"/>
        </w:rPr>
        <w:t xml:space="preserve"> và 3) </w:t>
      </w:r>
      <w:r w:rsidRPr="00C411F0">
        <w:rPr>
          <w:color w:val="000000" w:themeColor="text1"/>
          <w:lang w:val="vi-VN"/>
        </w:rPr>
        <w:t xml:space="preserve">cũng </w:t>
      </w:r>
      <w:r w:rsidR="00F9652A" w:rsidRPr="00C411F0">
        <w:rPr>
          <w:color w:val="000000" w:themeColor="text1"/>
          <w:lang w:val="vi-VN"/>
        </w:rPr>
        <w:t xml:space="preserve">giúp loại trừ những dự </w:t>
      </w:r>
      <w:r w:rsidR="00F9652A" w:rsidRPr="00C411F0">
        <w:rPr>
          <w:color w:val="000000" w:themeColor="text1"/>
          <w:lang w:val="vi-VN"/>
        </w:rPr>
        <w:lastRenderedPageBreak/>
        <w:t xml:space="preserve">án lợi dụng danh nghĩa xanh để hưởng ưu đãi, hỗ trợ của Nhà nước nhưng bản chất lại tiềm ẩn những tác động xấu đến môi trường. </w:t>
      </w:r>
      <w:r w:rsidR="005E5BF7" w:rsidRPr="00C411F0">
        <w:rPr>
          <w:color w:val="000000" w:themeColor="text1"/>
          <w:lang w:val="vi-VN"/>
        </w:rPr>
        <w:t>Do đó, trong 0</w:t>
      </w:r>
      <w:r w:rsidR="00AD12B2" w:rsidRPr="00C411F0">
        <w:rPr>
          <w:color w:val="000000" w:themeColor="text1"/>
          <w:lang w:val="vi-VN"/>
        </w:rPr>
        <w:t>4</w:t>
      </w:r>
      <w:r w:rsidR="005E5BF7" w:rsidRPr="00C411F0">
        <w:rPr>
          <w:color w:val="000000" w:themeColor="text1"/>
          <w:lang w:val="vi-VN"/>
        </w:rPr>
        <w:t xml:space="preserve"> Phương án đề xuất, xét về tác động với môi trường, Phương án </w:t>
      </w:r>
      <w:r w:rsidR="00AD12B2" w:rsidRPr="00C411F0">
        <w:rPr>
          <w:color w:val="000000" w:themeColor="text1"/>
          <w:lang w:val="vi-VN"/>
        </w:rPr>
        <w:t>0</w:t>
      </w:r>
      <w:r w:rsidR="005E5BF7" w:rsidRPr="00C411F0">
        <w:rPr>
          <w:color w:val="000000" w:themeColor="text1"/>
          <w:lang w:val="vi-VN"/>
        </w:rPr>
        <w:t xml:space="preserve"> cũng là phương án có tác động tích cực thấp nhất.</w:t>
      </w:r>
    </w:p>
    <w:p w14:paraId="68F3D239" w14:textId="77777777" w:rsidR="005E5BF7" w:rsidRPr="00C411F0" w:rsidRDefault="005E5BF7"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Đối với người dân:</w:t>
      </w:r>
    </w:p>
    <w:p w14:paraId="376E6D4D" w14:textId="23A45405" w:rsidR="00FD3D89" w:rsidRPr="00C411F0" w:rsidRDefault="00F9652A"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 xml:space="preserve"> </w:t>
      </w:r>
      <w:r w:rsidR="005E5BF7" w:rsidRPr="00C411F0">
        <w:rPr>
          <w:color w:val="000000" w:themeColor="text1"/>
          <w:lang w:val="vi-VN"/>
        </w:rPr>
        <w:t>Như đã phân tích trên, Phương án giữ nguyên hiện trạng (không quy định việc xác nhận dự án xanh) không tạo điều kiện nâng cao vị thế và trách nhiệm của doanh nghiệp trong BVMT, không mang lại tác động tích cực cho môi trường</w:t>
      </w:r>
      <w:r w:rsidR="00C37EDF" w:rsidRPr="00C411F0">
        <w:rPr>
          <w:color w:val="000000" w:themeColor="text1"/>
          <w:lang w:val="vi-VN"/>
        </w:rPr>
        <w:t>;</w:t>
      </w:r>
      <w:r w:rsidR="005E5BF7" w:rsidRPr="00C411F0">
        <w:rPr>
          <w:color w:val="000000" w:themeColor="text1"/>
          <w:lang w:val="vi-VN"/>
        </w:rPr>
        <w:t xml:space="preserve"> do đó, </w:t>
      </w:r>
      <w:r w:rsidR="00C37EDF" w:rsidRPr="00C411F0">
        <w:rPr>
          <w:color w:val="000000" w:themeColor="text1"/>
          <w:lang w:val="vi-VN"/>
        </w:rPr>
        <w:t xml:space="preserve">với Phương án này, </w:t>
      </w:r>
      <w:r w:rsidR="005E5BF7" w:rsidRPr="00C411F0">
        <w:rPr>
          <w:color w:val="000000" w:themeColor="text1"/>
          <w:lang w:val="vi-VN"/>
        </w:rPr>
        <w:t xml:space="preserve">người dân - là đối tượng được thụ hưởng các giá trị lợi ích khi chất lượng môi trường được cải thiện, môi trường sống xanh hơn - cũng </w:t>
      </w:r>
      <w:r w:rsidR="00C37EDF" w:rsidRPr="00C411F0">
        <w:rPr>
          <w:color w:val="000000" w:themeColor="text1"/>
          <w:lang w:val="vi-VN"/>
        </w:rPr>
        <w:t>không nhận được lợi ích do không thực hiện chính sách.</w:t>
      </w:r>
    </w:p>
    <w:p w14:paraId="48BBCFC7" w14:textId="5EEB672E" w:rsidR="00C37EDF" w:rsidRPr="00C411F0" w:rsidRDefault="00C37EDF"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nl-NL"/>
        </w:rPr>
        <w:t>c</w:t>
      </w:r>
      <w:r w:rsidRPr="00C411F0">
        <w:rPr>
          <w:b/>
          <w:bCs/>
          <w:i/>
          <w:color w:val="000000" w:themeColor="text1"/>
          <w:highlight w:val="white"/>
          <w:lang w:val="vi-VN"/>
        </w:rPr>
        <w:t>)</w:t>
      </w:r>
      <w:r w:rsidRPr="00C411F0">
        <w:rPr>
          <w:b/>
          <w:bCs/>
          <w:i/>
          <w:color w:val="000000" w:themeColor="text1"/>
          <w:highlight w:val="white"/>
          <w:lang w:val="nl-NL"/>
        </w:rPr>
        <w:t xml:space="preserve"> Tác động về giới</w:t>
      </w:r>
      <w:r w:rsidRPr="00C411F0">
        <w:rPr>
          <w:b/>
          <w:bCs/>
          <w:i/>
          <w:color w:val="000000" w:themeColor="text1"/>
          <w:highlight w:val="white"/>
          <w:lang w:val="vi-VN"/>
        </w:rPr>
        <w:t>:</w:t>
      </w:r>
    </w:p>
    <w:p w14:paraId="07E22A27" w14:textId="0B881BE7" w:rsidR="00C37EDF" w:rsidRPr="00C411F0" w:rsidRDefault="00C37EDF"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 xml:space="preserve">Phương án </w:t>
      </w:r>
      <w:r w:rsidR="009C13A1" w:rsidRPr="00C411F0">
        <w:rPr>
          <w:color w:val="000000" w:themeColor="text1"/>
          <w:lang w:val="vi-VN"/>
        </w:rPr>
        <w:t>này không có tác động về giới.</w:t>
      </w:r>
    </w:p>
    <w:p w14:paraId="7FA32E2D" w14:textId="1098C0FD" w:rsidR="009C13A1" w:rsidRPr="00C411F0" w:rsidRDefault="009C13A1" w:rsidP="007054F5">
      <w:pPr>
        <w:widowControl w:val="0"/>
        <w:tabs>
          <w:tab w:val="right" w:leader="dot" w:pos="7920"/>
        </w:tabs>
        <w:spacing w:before="120" w:line="276" w:lineRule="auto"/>
        <w:ind w:firstLine="720"/>
        <w:jc w:val="both"/>
        <w:rPr>
          <w:b/>
          <w:bCs/>
          <w:i/>
          <w:iCs/>
          <w:color w:val="000000" w:themeColor="text1"/>
          <w:lang w:val="vi-VN"/>
        </w:rPr>
      </w:pPr>
      <w:r w:rsidRPr="00C411F0">
        <w:rPr>
          <w:b/>
          <w:bCs/>
          <w:i/>
          <w:iCs/>
          <w:color w:val="000000" w:themeColor="text1"/>
          <w:lang w:val="vi-VN"/>
        </w:rPr>
        <w:t>d) Tác động về thủ tục hành chính:</w:t>
      </w:r>
    </w:p>
    <w:p w14:paraId="7237F87D" w14:textId="0495DE7B" w:rsidR="00C37EDF" w:rsidRPr="00C411F0" w:rsidRDefault="009C13A1" w:rsidP="007054F5">
      <w:pPr>
        <w:widowControl w:val="0"/>
        <w:tabs>
          <w:tab w:val="right" w:leader="dot" w:pos="7920"/>
        </w:tabs>
        <w:spacing w:before="120" w:line="276" w:lineRule="auto"/>
        <w:ind w:firstLine="720"/>
        <w:jc w:val="both"/>
        <w:rPr>
          <w:color w:val="000000" w:themeColor="text1"/>
          <w:lang w:val="vi-VN"/>
        </w:rPr>
      </w:pPr>
      <w:r w:rsidRPr="00C411F0">
        <w:rPr>
          <w:color w:val="000000" w:themeColor="text1"/>
          <w:lang w:val="vi-VN"/>
        </w:rPr>
        <w:t>Phương án này không làm phát sinh thủ tục hành chính.</w:t>
      </w:r>
    </w:p>
    <w:p w14:paraId="0484BE46" w14:textId="47BF0DC8" w:rsidR="009C13A1" w:rsidRPr="00C411F0" w:rsidRDefault="009C13A1" w:rsidP="007054F5">
      <w:pPr>
        <w:widowControl w:val="0"/>
        <w:tabs>
          <w:tab w:val="right" w:leader="dot" w:pos="7920"/>
        </w:tabs>
        <w:spacing w:before="120" w:line="276" w:lineRule="auto"/>
        <w:ind w:firstLine="720"/>
        <w:jc w:val="both"/>
        <w:rPr>
          <w:b/>
          <w:bCs/>
          <w:i/>
          <w:iCs/>
          <w:color w:val="000000" w:themeColor="text1"/>
          <w:lang w:val="vi-VN"/>
        </w:rPr>
      </w:pPr>
      <w:r w:rsidRPr="00C411F0">
        <w:rPr>
          <w:b/>
          <w:bCs/>
          <w:i/>
          <w:iCs/>
          <w:color w:val="000000" w:themeColor="text1"/>
          <w:lang w:val="vi-VN"/>
        </w:rPr>
        <w:t xml:space="preserve">đ) Tác động </w:t>
      </w:r>
      <w:r w:rsidR="00E20070" w:rsidRPr="00C411F0">
        <w:rPr>
          <w:b/>
          <w:bCs/>
          <w:i/>
          <w:iCs/>
          <w:color w:val="000000" w:themeColor="text1"/>
          <w:lang w:val="vi-VN"/>
        </w:rPr>
        <w:t xml:space="preserve">đối với </w:t>
      </w:r>
      <w:r w:rsidRPr="00C411F0">
        <w:rPr>
          <w:b/>
          <w:bCs/>
          <w:i/>
          <w:iCs/>
          <w:color w:val="000000" w:themeColor="text1"/>
          <w:lang w:val="vi-VN"/>
        </w:rPr>
        <w:t>hệ thống pháp luật:</w:t>
      </w:r>
    </w:p>
    <w:p w14:paraId="07809158" w14:textId="1F14B820" w:rsidR="00E20070" w:rsidRPr="00C411F0" w:rsidRDefault="00E20070" w:rsidP="007054F5">
      <w:pPr>
        <w:widowControl w:val="0"/>
        <w:spacing w:before="120" w:line="276" w:lineRule="auto"/>
        <w:ind w:firstLine="720"/>
        <w:jc w:val="both"/>
        <w:rPr>
          <w:color w:val="000000" w:themeColor="text1"/>
          <w:lang w:val="vi-VN"/>
        </w:rPr>
      </w:pPr>
      <w:r w:rsidRPr="00C411F0">
        <w:rPr>
          <w:color w:val="000000" w:themeColor="text1"/>
          <w:lang w:val="vi-VN"/>
        </w:rPr>
        <w:t xml:space="preserve">Khoản 3 Điều 154 Nghị định 08/2022/NĐ-CP quy định rõ “Việc xác nhận dự án thuộc danh mục phân loại xanh theo quy định tại khoản 2 Điều này được thực hiện theo đề nghị của chủ dự án đầu tư, chủ thể phát hành trái phiếu xanh có nhu cầu xác nhận để được hưởng chính sách ưu đãi, hỗ trợ của nhà nước về tín dụng xanh, trái phiếu xanh theo quy định tại Nghị định này.” Như vậy, thực hiện theo Phương án 1 (không quy định việc xác nhận dự án xanh) sẽ không bảo đảm tính đồng bộ với Nghị định 08/2022/NĐ-CP. </w:t>
      </w:r>
    </w:p>
    <w:p w14:paraId="3A57248B" w14:textId="12D24408" w:rsidR="00EE530C" w:rsidRPr="007054F5" w:rsidRDefault="00E20070" w:rsidP="007054F5">
      <w:pPr>
        <w:widowControl w:val="0"/>
        <w:tabs>
          <w:tab w:val="right" w:leader="dot" w:pos="7920"/>
        </w:tabs>
        <w:spacing w:before="120" w:line="276" w:lineRule="auto"/>
        <w:ind w:firstLine="454"/>
        <w:jc w:val="both"/>
        <w:rPr>
          <w:color w:val="000000" w:themeColor="text1"/>
          <w:u w:val="single"/>
          <w:lang w:val="vi-VN"/>
        </w:rPr>
      </w:pPr>
      <w:r w:rsidRPr="00C411F0">
        <w:rPr>
          <w:i/>
          <w:iCs/>
          <w:color w:val="000000" w:themeColor="text1"/>
          <w:u w:val="single"/>
          <w:lang w:val="vi-VN"/>
        </w:rPr>
        <w:t xml:space="preserve">2.4.2. Phương án </w:t>
      </w:r>
      <w:r w:rsidR="00790DB1" w:rsidRPr="00C411F0">
        <w:rPr>
          <w:i/>
          <w:iCs/>
          <w:color w:val="000000" w:themeColor="text1"/>
          <w:u w:val="single"/>
          <w:lang w:val="vi-VN"/>
        </w:rPr>
        <w:t>1</w:t>
      </w:r>
      <w:r w:rsidR="00EE530C">
        <w:rPr>
          <w:i/>
          <w:iCs/>
          <w:color w:val="000000" w:themeColor="text1"/>
          <w:u w:val="single"/>
          <w:lang w:val="vi-VN"/>
        </w:rPr>
        <w:t xml:space="preserve"> (như Dự thảo Quyết định): </w:t>
      </w:r>
      <w:r w:rsidR="00EE530C" w:rsidRPr="007054F5">
        <w:rPr>
          <w:i/>
          <w:iCs/>
          <w:color w:val="000000" w:themeColor="text1"/>
          <w:u w:val="single"/>
          <w:lang w:val="vi-VN"/>
        </w:rPr>
        <w:t>Chỉ bắt buộc xác nhận dự án xanh đối với các dự án chuyển đổi xanh và việc xác nhận được thực hiện thông qua cơ quan quản lý nhà nước có thẩm quyền về bảo vệ môi trường. Trường hợp các loại hình dự án còn lại nếu chủ dự án có nhu cầu xác nhận dự án xanh (tự nguyện đề nghị xác nhận) thì việc xác nhận được thực hiện thông qua các tổ chức đánh giá, xác nhận độc lập (</w:t>
      </w:r>
      <w:r w:rsidR="00EE530C" w:rsidRPr="007054F5">
        <w:rPr>
          <w:i/>
          <w:iCs/>
          <w:color w:val="000000" w:themeColor="text1"/>
          <w:u w:val="single"/>
        </w:rPr>
        <w:t>xã</w:t>
      </w:r>
      <w:r w:rsidR="00EE530C" w:rsidRPr="007054F5">
        <w:rPr>
          <w:i/>
          <w:iCs/>
          <w:color w:val="000000" w:themeColor="text1"/>
          <w:u w:val="single"/>
          <w:lang w:val="vi-VN"/>
        </w:rPr>
        <w:t xml:space="preserve"> hội hoá).</w:t>
      </w:r>
    </w:p>
    <w:p w14:paraId="329B12F1" w14:textId="77777777" w:rsidR="00EE530C" w:rsidRDefault="00EE530C" w:rsidP="007054F5">
      <w:pPr>
        <w:widowControl w:val="0"/>
        <w:tabs>
          <w:tab w:val="right" w:leader="dot" w:pos="7920"/>
        </w:tabs>
        <w:spacing w:before="120" w:line="276" w:lineRule="auto"/>
        <w:ind w:firstLine="720"/>
        <w:jc w:val="both"/>
        <w:rPr>
          <w:i/>
          <w:iCs/>
          <w:color w:val="000000" w:themeColor="text1"/>
          <w:lang w:val="vi-VN"/>
        </w:rPr>
      </w:pPr>
      <w:r w:rsidRPr="00EE530C">
        <w:rPr>
          <w:i/>
          <w:iCs/>
          <w:color w:val="000000" w:themeColor="text1"/>
          <w:lang w:val="vi-VN"/>
        </w:rPr>
        <w:t>(</w:t>
      </w:r>
      <w:r>
        <w:rPr>
          <w:i/>
          <w:iCs/>
          <w:color w:val="000000" w:themeColor="text1"/>
          <w:lang w:val="vi-VN"/>
        </w:rPr>
        <w:t xml:space="preserve">Cụ thể: </w:t>
      </w:r>
    </w:p>
    <w:p w14:paraId="15C7561E" w14:textId="0CEF2DBC" w:rsidR="00EE530C" w:rsidRPr="007054F5" w:rsidRDefault="00EE530C" w:rsidP="007054F5">
      <w:pPr>
        <w:widowControl w:val="0"/>
        <w:tabs>
          <w:tab w:val="right" w:leader="dot" w:pos="7920"/>
        </w:tabs>
        <w:spacing w:before="120" w:line="276" w:lineRule="auto"/>
        <w:ind w:firstLine="720"/>
        <w:jc w:val="both"/>
        <w:rPr>
          <w:i/>
          <w:iCs/>
          <w:color w:val="000000" w:themeColor="text1"/>
          <w:lang w:val="vi-VN"/>
        </w:rPr>
      </w:pPr>
      <w:r>
        <w:rPr>
          <w:i/>
          <w:iCs/>
          <w:color w:val="000000" w:themeColor="text1"/>
          <w:lang w:val="vi-VN"/>
        </w:rPr>
        <w:t xml:space="preserve">* </w:t>
      </w:r>
      <w:r w:rsidRPr="00EE530C">
        <w:rPr>
          <w:i/>
          <w:iCs/>
          <w:color w:val="000000" w:themeColor="text1"/>
          <w:lang w:val="vi-VN"/>
        </w:rPr>
        <w:t>Chỉ bắt buộc xác nhận đối với các dự án chuyển đổi xanh (05 dự án từ số 76 đến số 80 trong Danh mục phân loại xanh Phụ lục I) và cơ quan quản lý nhà nước có thẩm quyền về bảo vệ môi trường thực hiện việc xác nhận này.</w:t>
      </w:r>
    </w:p>
    <w:p w14:paraId="1B3F838F" w14:textId="77777777" w:rsidR="00EE530C" w:rsidRPr="00EE530C" w:rsidRDefault="00EE530C" w:rsidP="007054F5">
      <w:pPr>
        <w:widowControl w:val="0"/>
        <w:tabs>
          <w:tab w:val="right" w:leader="dot" w:pos="7920"/>
        </w:tabs>
        <w:spacing w:before="120" w:line="276" w:lineRule="auto"/>
        <w:ind w:firstLine="720"/>
        <w:jc w:val="both"/>
        <w:rPr>
          <w:i/>
          <w:iCs/>
          <w:color w:val="000000" w:themeColor="text1"/>
          <w:lang w:val="vi-VN"/>
        </w:rPr>
      </w:pPr>
      <w:r w:rsidRPr="00EE530C">
        <w:rPr>
          <w:i/>
          <w:iCs/>
          <w:color w:val="000000" w:themeColor="text1"/>
          <w:lang w:val="vi-VN"/>
        </w:rPr>
        <w:t xml:space="preserve">Tổ chức, cá nhân có nhu cầu xác nhận dự án xanh để hưởng ưu đãi, hỗ trợ của Nhà nước gửi hồ sơ theo quy định đến cơ quan nhà nước có thẩm quyền về </w:t>
      </w:r>
      <w:r w:rsidRPr="00EE530C">
        <w:rPr>
          <w:i/>
          <w:iCs/>
          <w:color w:val="000000" w:themeColor="text1"/>
          <w:lang w:val="vi-VN"/>
        </w:rPr>
        <w:lastRenderedPageBreak/>
        <w:t xml:space="preserve">thẩm định, phê duyệt kết quả thẩm định báo cáo đánh giá tác động môi trường hoặc cấp giấy phép môi trường (GPMT) theo quy định về pháp luật BVMT để thẩm định và xác nhận. </w:t>
      </w:r>
    </w:p>
    <w:p w14:paraId="6EA6D118" w14:textId="77777777" w:rsidR="00EE530C" w:rsidRPr="00EE530C" w:rsidRDefault="00EE530C" w:rsidP="007054F5">
      <w:pPr>
        <w:widowControl w:val="0"/>
        <w:tabs>
          <w:tab w:val="right" w:leader="dot" w:pos="7920"/>
        </w:tabs>
        <w:spacing w:before="120" w:line="276" w:lineRule="auto"/>
        <w:ind w:firstLine="720"/>
        <w:jc w:val="both"/>
        <w:rPr>
          <w:i/>
          <w:iCs/>
          <w:color w:val="000000" w:themeColor="text1"/>
          <w:lang w:val="vi-VN"/>
        </w:rPr>
      </w:pPr>
      <w:r w:rsidRPr="00EE530C">
        <w:rPr>
          <w:i/>
          <w:iCs/>
          <w:color w:val="000000" w:themeColor="text1"/>
          <w:lang w:val="vi-VN"/>
        </w:rPr>
        <w:t>Đối với trường hợp dự án muốn được xác nhận để cấp tín dụng xanh và hưởng ưu đãi, hỗ trợ nhưng không thuộc đối tượng phải ĐTM hay cấp GPMT, cơ quan có thẩm quyền xác nhận là: i) Phòng TNMT (thuộc UBND cấp huyện) xác nhận đối với dự án nằm trong phạm vi 01 huyện; ii) Sở TNMT xác nhận đối với dự án nằm trên phạm vi 02 huyện; iii) Bộ TNMT xác nhận đối với dự án nằm trên phạm vi 02 tỉnh.</w:t>
      </w:r>
    </w:p>
    <w:p w14:paraId="10B06CAC" w14:textId="77777777" w:rsidR="00EE530C" w:rsidRPr="00EE530C" w:rsidRDefault="00EE530C" w:rsidP="007054F5">
      <w:pPr>
        <w:widowControl w:val="0"/>
        <w:tabs>
          <w:tab w:val="right" w:leader="dot" w:pos="7920"/>
        </w:tabs>
        <w:spacing w:before="120" w:line="276" w:lineRule="auto"/>
        <w:ind w:firstLine="720"/>
        <w:jc w:val="both"/>
        <w:rPr>
          <w:i/>
          <w:iCs/>
          <w:color w:val="000000" w:themeColor="text1"/>
          <w:lang w:val="vi-VN"/>
        </w:rPr>
      </w:pPr>
      <w:r w:rsidRPr="00EE530C">
        <w:rPr>
          <w:i/>
          <w:iCs/>
          <w:color w:val="000000" w:themeColor="text1"/>
          <w:lang w:val="vi-VN"/>
        </w:rPr>
        <w:t>Đối với doanh nghiệp có nhu cầu xác nhận để phát hành TPX và hưởng ưu đãi, hỗ trợ nhưng không thuộc đối tượng phải ĐTM hay cấp GPMT, cơ quan có thẩm quyền xác nhận là: i) Sở TNMT xác nhận đối với dự án nằm trên phạm vi tỉnh; ii) Bộ TNMT xác nhận đối với dự án nằm trên phạm vi 02 tỉnh.</w:t>
      </w:r>
    </w:p>
    <w:p w14:paraId="5B45CC23" w14:textId="7B0E8EAC" w:rsidR="00EE530C" w:rsidRPr="00EE530C" w:rsidRDefault="00EE530C" w:rsidP="007054F5">
      <w:pPr>
        <w:widowControl w:val="0"/>
        <w:tabs>
          <w:tab w:val="right" w:leader="dot" w:pos="7920"/>
        </w:tabs>
        <w:spacing w:before="120" w:line="276" w:lineRule="auto"/>
        <w:ind w:firstLine="720"/>
        <w:jc w:val="both"/>
        <w:rPr>
          <w:i/>
          <w:iCs/>
          <w:color w:val="000000" w:themeColor="text1"/>
          <w:lang w:val="vi-VN"/>
        </w:rPr>
      </w:pPr>
      <w:r w:rsidRPr="00EE530C">
        <w:rPr>
          <w:i/>
          <w:iCs/>
          <w:color w:val="000000" w:themeColor="text1"/>
          <w:lang w:val="vi-VN"/>
        </w:rPr>
        <w:t xml:space="preserve"> Trong trường hợp thời điểm đề nghị xác nhận trùng với thời điểm đề nghị thẩm định báo cáo ĐTM hoặc cấp GPMT thì tích hợp các thủ tục hành chính. Trong trường hợp không trùng với thời điểm đề nghị thẩm định báo cáo ĐTM hoặc cấp GPMT, việc thẩm định để xác nhận được thực hiện thông qua hình thức hội đồng thẩm định hoặc lấy ý kiến chuyên gia. Dự thảo Quyết định cũng đã quy định cụ thể thành phần hồ sơ, trình tự thực hiện việc xác nhận; quy định các trường hợp thu hồi giấy xác nhận và quy định rõ kinh phí cho việc lập hồ sơ đề nghị xác nhận, thẩm định, xác nhận dự án xanh.</w:t>
      </w:r>
    </w:p>
    <w:p w14:paraId="2D575356" w14:textId="76C526A7" w:rsidR="00F84BF6" w:rsidRPr="00A41810" w:rsidRDefault="00EE530C" w:rsidP="007054F5">
      <w:pPr>
        <w:widowControl w:val="0"/>
        <w:tabs>
          <w:tab w:val="right" w:leader="dot" w:pos="7920"/>
        </w:tabs>
        <w:spacing w:before="120" w:line="276" w:lineRule="auto"/>
        <w:ind w:firstLine="720"/>
        <w:jc w:val="both"/>
        <w:rPr>
          <w:i/>
          <w:iCs/>
          <w:color w:val="000000" w:themeColor="text1"/>
          <w:lang w:val="vi-VN"/>
        </w:rPr>
      </w:pPr>
      <w:r>
        <w:rPr>
          <w:i/>
          <w:iCs/>
          <w:color w:val="000000" w:themeColor="text1"/>
          <w:lang w:val="vi-VN"/>
        </w:rPr>
        <w:t xml:space="preserve">* </w:t>
      </w:r>
      <w:r w:rsidR="00F84BF6" w:rsidRPr="00A41810">
        <w:rPr>
          <w:i/>
          <w:iCs/>
          <w:color w:val="000000" w:themeColor="text1"/>
          <w:lang w:val="vi-VN"/>
        </w:rPr>
        <w:t xml:space="preserve">Đối với các dự án xanh </w:t>
      </w:r>
      <w:r>
        <w:rPr>
          <w:i/>
          <w:iCs/>
          <w:color w:val="000000" w:themeColor="text1"/>
          <w:lang w:val="vi-VN"/>
        </w:rPr>
        <w:t xml:space="preserve">khác </w:t>
      </w:r>
      <w:r w:rsidR="00F84BF6" w:rsidRPr="00A41810">
        <w:rPr>
          <w:i/>
          <w:iCs/>
          <w:color w:val="000000" w:themeColor="text1"/>
          <w:lang w:val="vi-VN"/>
        </w:rPr>
        <w:t xml:space="preserve">(các dự án từ số 01 đến số 75) khi đáp ứng tiêu chí </w:t>
      </w:r>
      <w:r>
        <w:rPr>
          <w:i/>
          <w:iCs/>
          <w:color w:val="000000" w:themeColor="text1"/>
          <w:lang w:val="vi-VN"/>
        </w:rPr>
        <w:t xml:space="preserve">môi trường </w:t>
      </w:r>
      <w:r w:rsidR="00F84BF6" w:rsidRPr="00A41810">
        <w:rPr>
          <w:i/>
          <w:iCs/>
          <w:color w:val="000000" w:themeColor="text1"/>
          <w:lang w:val="vi-VN"/>
        </w:rPr>
        <w:t xml:space="preserve">trong trong Danh mục phân loại xanh (Phụ lục </w:t>
      </w:r>
      <w:r>
        <w:rPr>
          <w:i/>
          <w:iCs/>
          <w:color w:val="000000" w:themeColor="text1"/>
          <w:lang w:val="vi-VN"/>
        </w:rPr>
        <w:t>I</w:t>
      </w:r>
      <w:r w:rsidR="00F84BF6" w:rsidRPr="00A41810">
        <w:rPr>
          <w:i/>
          <w:iCs/>
          <w:color w:val="000000" w:themeColor="text1"/>
          <w:lang w:val="vi-VN"/>
        </w:rPr>
        <w:t>) thì được hưởng ưu đãi, chính sách không cần qua thủ tục tục xác nhận dự án xanh.</w:t>
      </w:r>
    </w:p>
    <w:p w14:paraId="61566D6C" w14:textId="59FDD1ED" w:rsidR="00A55A04" w:rsidRPr="00A55A04" w:rsidRDefault="00EE530C" w:rsidP="007054F5">
      <w:pPr>
        <w:widowControl w:val="0"/>
        <w:tabs>
          <w:tab w:val="right" w:leader="dot" w:pos="7920"/>
        </w:tabs>
        <w:spacing w:before="120" w:line="276" w:lineRule="auto"/>
        <w:ind w:firstLine="720"/>
        <w:jc w:val="both"/>
        <w:rPr>
          <w:i/>
          <w:iCs/>
          <w:color w:val="000000" w:themeColor="text1"/>
          <w:lang w:val="vi-VN"/>
        </w:rPr>
      </w:pPr>
      <w:r>
        <w:rPr>
          <w:i/>
          <w:iCs/>
          <w:color w:val="000000" w:themeColor="text1"/>
          <w:lang w:val="vi-VN"/>
        </w:rPr>
        <w:t>Trường hợp chủ các dự án này có nhu cầu xác nhận thì tự nguyện đề nghị xác nhận và v</w:t>
      </w:r>
      <w:r w:rsidR="007D304E" w:rsidRPr="00A41810">
        <w:rPr>
          <w:i/>
          <w:iCs/>
          <w:color w:val="000000" w:themeColor="text1"/>
          <w:lang w:val="vi-VN"/>
        </w:rPr>
        <w:t>iệc xác nhận được thực hiện thông qua các tổ chức đánh giá, xác nhận độc lập</w:t>
      </w:r>
      <w:r>
        <w:rPr>
          <w:i/>
          <w:iCs/>
          <w:color w:val="000000" w:themeColor="text1"/>
          <w:lang w:val="vi-VN"/>
        </w:rPr>
        <w:t xml:space="preserve"> (xã hội hoá việc xác nhận)</w:t>
      </w:r>
      <w:r w:rsidR="00F84BF6" w:rsidRPr="00A41810">
        <w:rPr>
          <w:i/>
          <w:iCs/>
          <w:color w:val="000000" w:themeColor="text1"/>
          <w:lang w:val="vi-VN"/>
        </w:rPr>
        <w:t xml:space="preserve">, gồm: </w:t>
      </w:r>
      <w:r w:rsidR="007D304E" w:rsidRPr="00A41810">
        <w:rPr>
          <w:i/>
          <w:iCs/>
          <w:color w:val="000000" w:themeColor="text1"/>
        </w:rPr>
        <w:t>Tổ chức kiểm toán hoạt động hợp pháp tại Việt Nam theo quy định của pháp luật về kiểm toán độc lập và pháp luật khác có liên quan;</w:t>
      </w:r>
      <w:r w:rsidR="007D304E" w:rsidRPr="00A41810">
        <w:rPr>
          <w:i/>
          <w:iCs/>
          <w:color w:val="000000" w:themeColor="text1"/>
          <w:lang w:val="vi-VN"/>
        </w:rPr>
        <w:t xml:space="preserve"> </w:t>
      </w:r>
      <w:r w:rsidR="007D304E" w:rsidRPr="00A41810">
        <w:rPr>
          <w:i/>
          <w:iCs/>
          <w:color w:val="000000" w:themeColor="text1"/>
        </w:rPr>
        <w:t>Tổ chức khác (nếu có) cung cấp các dịch vụ phù hợp với yêu cầu về xác nhận dự án đầu tư thuộc danh mục phân loại xanh và theo quy định của pháp luật.</w:t>
      </w:r>
      <w:r w:rsidR="00A55A04">
        <w:rPr>
          <w:i/>
          <w:iCs/>
          <w:color w:val="000000" w:themeColor="text1"/>
          <w:lang w:val="vi-VN"/>
        </w:rPr>
        <w:t xml:space="preserve"> </w:t>
      </w:r>
    </w:p>
    <w:p w14:paraId="41917F53" w14:textId="675138EA" w:rsidR="008A3686" w:rsidRDefault="00FA17B7" w:rsidP="007054F5">
      <w:pPr>
        <w:widowControl w:val="0"/>
        <w:tabs>
          <w:tab w:val="right" w:leader="dot" w:pos="7920"/>
        </w:tabs>
        <w:spacing w:before="120" w:line="276" w:lineRule="auto"/>
        <w:ind w:firstLine="720"/>
        <w:jc w:val="both"/>
        <w:rPr>
          <w:i/>
          <w:iCs/>
          <w:color w:val="000000"/>
          <w:lang w:val="vi-VN"/>
        </w:rPr>
      </w:pPr>
      <w:r>
        <w:rPr>
          <w:i/>
          <w:iCs/>
          <w:color w:val="000000"/>
        </w:rPr>
        <w:t>Dự</w:t>
      </w:r>
      <w:r>
        <w:rPr>
          <w:i/>
          <w:iCs/>
          <w:color w:val="000000"/>
          <w:lang w:val="vi-VN"/>
        </w:rPr>
        <w:t xml:space="preserve"> thảo </w:t>
      </w:r>
      <w:r w:rsidR="00F84BF6">
        <w:rPr>
          <w:i/>
          <w:iCs/>
          <w:color w:val="000000"/>
          <w:lang w:val="vi-VN"/>
        </w:rPr>
        <w:t xml:space="preserve">cũng </w:t>
      </w:r>
      <w:r>
        <w:rPr>
          <w:i/>
          <w:iCs/>
          <w:color w:val="000000"/>
          <w:lang w:val="vi-VN"/>
        </w:rPr>
        <w:t>đã quy định các thành phần của hồ sơ đề nghị xác nhận, nội dung chính của văn bản xác nhận</w:t>
      </w:r>
      <w:r w:rsidR="00A55A04">
        <w:rPr>
          <w:i/>
          <w:iCs/>
          <w:color w:val="000000"/>
          <w:lang w:val="vi-VN"/>
        </w:rPr>
        <w:t xml:space="preserve"> và một số trách nhiệm có liên quan đối với trường hợp này.</w:t>
      </w:r>
    </w:p>
    <w:p w14:paraId="4A0AB0BB" w14:textId="77777777" w:rsidR="00B003D4" w:rsidRPr="00C411F0" w:rsidRDefault="00B003D4" w:rsidP="007054F5">
      <w:pPr>
        <w:widowControl w:val="0"/>
        <w:spacing w:before="120" w:line="276" w:lineRule="auto"/>
        <w:ind w:firstLine="454"/>
        <w:jc w:val="both"/>
        <w:rPr>
          <w:b/>
          <w:bCs/>
          <w:i/>
          <w:color w:val="000000" w:themeColor="text1"/>
          <w:highlight w:val="white"/>
          <w:lang w:val="vi-VN"/>
        </w:rPr>
      </w:pPr>
      <w:r w:rsidRPr="00C411F0">
        <w:rPr>
          <w:b/>
          <w:bCs/>
          <w:i/>
          <w:color w:val="000000" w:themeColor="text1"/>
          <w:highlight w:val="white"/>
          <w:lang w:val="nl-NL"/>
        </w:rPr>
        <w:t>a</w:t>
      </w:r>
      <w:r w:rsidRPr="00C411F0">
        <w:rPr>
          <w:b/>
          <w:bCs/>
          <w:i/>
          <w:color w:val="000000" w:themeColor="text1"/>
          <w:highlight w:val="white"/>
          <w:lang w:val="vi-VN"/>
        </w:rPr>
        <w:t>)</w:t>
      </w:r>
      <w:r w:rsidRPr="00C411F0">
        <w:rPr>
          <w:b/>
          <w:bCs/>
          <w:i/>
          <w:color w:val="000000" w:themeColor="text1"/>
          <w:highlight w:val="white"/>
          <w:lang w:val="nl-NL"/>
        </w:rPr>
        <w:t xml:space="preserve"> Tác động về kinh tế</w:t>
      </w:r>
      <w:r w:rsidRPr="00C411F0">
        <w:rPr>
          <w:b/>
          <w:bCs/>
          <w:i/>
          <w:color w:val="000000" w:themeColor="text1"/>
          <w:highlight w:val="white"/>
          <w:lang w:val="vi-VN"/>
        </w:rPr>
        <w:t>:</w:t>
      </w:r>
    </w:p>
    <w:p w14:paraId="172ADC10" w14:textId="77777777" w:rsidR="00B003D4" w:rsidRPr="00C411F0" w:rsidRDefault="00B003D4"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xml:space="preserve">* Đối với Nhà nước: </w:t>
      </w:r>
    </w:p>
    <w:p w14:paraId="62491B64" w14:textId="77777777" w:rsidR="00B003D4" w:rsidRPr="00C411F0" w:rsidRDefault="00B003D4" w:rsidP="007054F5">
      <w:pPr>
        <w:widowControl w:val="0"/>
        <w:spacing w:before="120" w:line="276" w:lineRule="auto"/>
        <w:ind w:firstLine="720"/>
        <w:jc w:val="both"/>
        <w:rPr>
          <w:color w:val="000000" w:themeColor="text1"/>
          <w:highlight w:val="white"/>
          <w:lang w:val="nl-NL"/>
        </w:rPr>
      </w:pPr>
      <w:r w:rsidRPr="00C411F0">
        <w:rPr>
          <w:i/>
          <w:color w:val="000000" w:themeColor="text1"/>
          <w:highlight w:val="white"/>
          <w:lang w:val="vi-VN"/>
        </w:rPr>
        <w:lastRenderedPageBreak/>
        <w:t xml:space="preserve">- </w:t>
      </w:r>
      <w:r w:rsidRPr="00C411F0">
        <w:rPr>
          <w:i/>
          <w:color w:val="000000" w:themeColor="text1"/>
          <w:highlight w:val="white"/>
          <w:lang w:val="nl-NL"/>
        </w:rPr>
        <w:t>Tác động tích</w:t>
      </w:r>
      <w:r w:rsidRPr="00C411F0">
        <w:rPr>
          <w:i/>
          <w:color w:val="000000" w:themeColor="text1"/>
          <w:highlight w:val="white"/>
          <w:lang w:val="vi-VN"/>
        </w:rPr>
        <w:t xml:space="preserve"> </w:t>
      </w:r>
      <w:r w:rsidRPr="00C411F0">
        <w:rPr>
          <w:i/>
          <w:color w:val="000000" w:themeColor="text1"/>
          <w:highlight w:val="white"/>
          <w:lang w:val="nl-NL"/>
        </w:rPr>
        <w:t>cực</w:t>
      </w:r>
      <w:r w:rsidRPr="00C411F0">
        <w:rPr>
          <w:color w:val="000000" w:themeColor="text1"/>
          <w:highlight w:val="white"/>
          <w:lang w:val="nl-NL"/>
        </w:rPr>
        <w:t>:</w:t>
      </w:r>
    </w:p>
    <w:p w14:paraId="31DD78BA" w14:textId="0062827B" w:rsidR="00FA17B7" w:rsidRPr="00C411F0" w:rsidRDefault="00F66487" w:rsidP="007054F5">
      <w:pPr>
        <w:widowControl w:val="0"/>
        <w:spacing w:before="120" w:line="276" w:lineRule="auto"/>
        <w:ind w:firstLine="720"/>
        <w:jc w:val="both"/>
        <w:rPr>
          <w:color w:val="000000" w:themeColor="text1"/>
          <w:lang w:val="vi-VN" w:eastAsia="vi-VN"/>
        </w:rPr>
      </w:pPr>
      <w:r>
        <w:rPr>
          <w:color w:val="000000" w:themeColor="text1"/>
          <w:lang w:val="vi-VN"/>
        </w:rPr>
        <w:t>V</w:t>
      </w:r>
      <w:r w:rsidR="00FA17B7" w:rsidRPr="00C411F0">
        <w:rPr>
          <w:color w:val="000000" w:themeColor="text1"/>
          <w:lang w:val="vi-VN"/>
        </w:rPr>
        <w:t xml:space="preserve">iệc xác nhận </w:t>
      </w:r>
      <w:r>
        <w:rPr>
          <w:color w:val="000000" w:themeColor="text1"/>
          <w:lang w:val="vi-VN"/>
        </w:rPr>
        <w:t xml:space="preserve">xanh </w:t>
      </w:r>
      <w:r w:rsidR="00FA17B7" w:rsidRPr="00C411F0">
        <w:rPr>
          <w:color w:val="000000" w:themeColor="text1"/>
          <w:lang w:val="vi-VN"/>
        </w:rPr>
        <w:t xml:space="preserve">bảo đảm tính hiệu quả về mặt kinh tế cho Nhà nước khi triển khai các chính sách ưu đãi, hỗ trợ </w:t>
      </w:r>
      <w:r>
        <w:rPr>
          <w:color w:val="000000" w:themeColor="text1"/>
          <w:lang w:val="vi-VN"/>
        </w:rPr>
        <w:t xml:space="preserve">vì </w:t>
      </w:r>
      <w:r w:rsidR="00FA17B7" w:rsidRPr="00C411F0">
        <w:rPr>
          <w:color w:val="000000" w:themeColor="text1"/>
          <w:lang w:val="vi-VN"/>
        </w:rPr>
        <w:t xml:space="preserve">tránh được trường hợp ưu đãi, hỗ trợ cho những dự án </w:t>
      </w:r>
      <w:r w:rsidR="00FA17B7" w:rsidRPr="00C411F0">
        <w:rPr>
          <w:color w:val="000000" w:themeColor="text1"/>
          <w:lang w:val="vi-VN" w:eastAsia="vi-VN"/>
        </w:rPr>
        <w:t xml:space="preserve">không thực xanh - “green washing”. </w:t>
      </w:r>
      <w:r>
        <w:rPr>
          <w:color w:val="000000" w:themeColor="text1"/>
          <w:lang w:val="vi-VN" w:eastAsia="vi-VN"/>
        </w:rPr>
        <w:t>V</w:t>
      </w:r>
      <w:r w:rsidR="00FA17B7" w:rsidRPr="00C411F0">
        <w:rPr>
          <w:color w:val="000000" w:themeColor="text1"/>
          <w:lang w:val="vi-VN" w:eastAsia="vi-VN"/>
        </w:rPr>
        <w:t xml:space="preserve">iệc xác nhận </w:t>
      </w:r>
      <w:r>
        <w:rPr>
          <w:color w:val="000000" w:themeColor="text1"/>
          <w:lang w:val="vi-VN" w:eastAsia="vi-VN"/>
        </w:rPr>
        <w:t xml:space="preserve">đối với các dự án chuyển đổi xanh </w:t>
      </w:r>
      <w:r w:rsidR="00FA17B7" w:rsidRPr="00C411F0">
        <w:rPr>
          <w:color w:val="000000" w:themeColor="text1"/>
          <w:lang w:val="vi-VN" w:eastAsia="vi-VN"/>
        </w:rPr>
        <w:t>sẽ tạo</w:t>
      </w:r>
      <w:r>
        <w:rPr>
          <w:color w:val="000000" w:themeColor="text1"/>
          <w:lang w:val="vi-VN" w:eastAsia="vi-VN"/>
        </w:rPr>
        <w:t xml:space="preserve"> độ tin cậy, mang lại</w:t>
      </w:r>
      <w:r w:rsidR="00FA17B7" w:rsidRPr="00C411F0">
        <w:rPr>
          <w:color w:val="000000" w:themeColor="text1"/>
          <w:lang w:val="vi-VN" w:eastAsia="vi-VN"/>
        </w:rPr>
        <w:t xml:space="preserve"> những hiệu ứng tích cực cho việc thu hút đầu tư, phát triển,</w:t>
      </w:r>
      <w:r w:rsidR="00FA17B7" w:rsidRPr="00C411F0">
        <w:rPr>
          <w:color w:val="000000" w:themeColor="text1"/>
          <w:lang w:val="vi-VN"/>
        </w:rPr>
        <w:t xml:space="preserve"> đặc biệt nguồn vốn đầu tư tư nhân vào việc thực hiện các</w:t>
      </w:r>
      <w:r>
        <w:rPr>
          <w:color w:val="000000" w:themeColor="text1"/>
          <w:lang w:val="vi-VN"/>
        </w:rPr>
        <w:t xml:space="preserve"> dự án chuyển đổi xanh để bảo đảm các</w:t>
      </w:r>
      <w:r w:rsidR="00FA17B7" w:rsidRPr="00C411F0">
        <w:rPr>
          <w:color w:val="000000" w:themeColor="text1"/>
          <w:lang w:val="vi-VN"/>
        </w:rPr>
        <w:t xml:space="preserve"> mục tiêu môi trường và mục tiêu phát triển bền vững, giảm đáng kể áp lực ngân sách nhà nước. Cùng với việc tăng cường tuyên truyền phổ biến và minh bạch thông tin, thì dự kiến thị trường tín dụng xanh và trái phiếu xanh sẽ phát triển mạnh mẽ hơn, bảo đảm nguồn vốn để hỗ trợ Nhà nước thực hiện hiệu quả mục tiêu môi trường, phát triển bền vững.</w:t>
      </w:r>
    </w:p>
    <w:p w14:paraId="3DF686D7" w14:textId="603FFF4D" w:rsidR="00F66487" w:rsidRDefault="00F66487" w:rsidP="007054F5">
      <w:pPr>
        <w:widowControl w:val="0"/>
        <w:tabs>
          <w:tab w:val="right" w:leader="dot" w:pos="7920"/>
        </w:tabs>
        <w:spacing w:before="120" w:line="276" w:lineRule="auto"/>
        <w:ind w:firstLine="720"/>
        <w:jc w:val="both"/>
        <w:rPr>
          <w:color w:val="000000" w:themeColor="text1"/>
          <w:lang w:val="vi-VN"/>
        </w:rPr>
      </w:pPr>
      <w:r>
        <w:rPr>
          <w:color w:val="000000" w:themeColor="text1"/>
          <w:lang w:val="nl-NL"/>
        </w:rPr>
        <w:t>Bên</w:t>
      </w:r>
      <w:r>
        <w:rPr>
          <w:color w:val="000000" w:themeColor="text1"/>
          <w:lang w:val="vi-VN"/>
        </w:rPr>
        <w:t xml:space="preserve"> cạnh đó, quy định </w:t>
      </w:r>
      <w:r w:rsidR="0019294F">
        <w:rPr>
          <w:color w:val="000000" w:themeColor="text1"/>
          <w:lang w:val="vi-VN"/>
        </w:rPr>
        <w:t>không cần thực hiện thủ tục</w:t>
      </w:r>
      <w:r>
        <w:rPr>
          <w:color w:val="000000" w:themeColor="text1"/>
          <w:lang w:val="vi-VN"/>
        </w:rPr>
        <w:t xml:space="preserve"> xác nhận xanh đối với các dự án </w:t>
      </w:r>
      <w:r w:rsidR="0019294F">
        <w:rPr>
          <w:color w:val="000000" w:themeColor="text1"/>
          <w:lang w:val="vi-VN"/>
        </w:rPr>
        <w:t xml:space="preserve">“đương nhiên </w:t>
      </w:r>
      <w:r>
        <w:rPr>
          <w:color w:val="000000" w:themeColor="text1"/>
          <w:lang w:val="vi-VN"/>
        </w:rPr>
        <w:t>xanh</w:t>
      </w:r>
      <w:r w:rsidR="0019294F">
        <w:rPr>
          <w:color w:val="000000" w:themeColor="text1"/>
          <w:lang w:val="vi-VN"/>
        </w:rPr>
        <w:t>”</w:t>
      </w:r>
      <w:r>
        <w:rPr>
          <w:color w:val="000000" w:themeColor="text1"/>
          <w:lang w:val="vi-VN"/>
        </w:rPr>
        <w:t xml:space="preserve"> (</w:t>
      </w:r>
      <w:r w:rsidR="0019294F">
        <w:rPr>
          <w:color w:val="000000" w:themeColor="text1"/>
          <w:lang w:val="vi-VN"/>
        </w:rPr>
        <w:t>các dự án số 01 đến số 75</w:t>
      </w:r>
      <w:r>
        <w:rPr>
          <w:color w:val="000000" w:themeColor="text1"/>
          <w:lang w:val="vi-VN"/>
        </w:rPr>
        <w:t xml:space="preserve">) </w:t>
      </w:r>
      <w:r w:rsidR="0019294F">
        <w:rPr>
          <w:color w:val="000000" w:themeColor="text1"/>
          <w:lang w:val="vi-VN"/>
        </w:rPr>
        <w:t xml:space="preserve">khi đã đáp ứng tiêu chí môi trường </w:t>
      </w:r>
      <w:r>
        <w:rPr>
          <w:color w:val="000000" w:themeColor="text1"/>
          <w:lang w:val="vi-VN"/>
        </w:rPr>
        <w:t xml:space="preserve">cũng tạo sự thuận lợi, nhanh chóng cho việc hưởng ưu đãi, hỗ trợ của các tổ chức, cá nhân; </w:t>
      </w:r>
      <w:r w:rsidR="005709C1">
        <w:rPr>
          <w:color w:val="000000" w:themeColor="text1"/>
          <w:lang w:val="vi-VN"/>
        </w:rPr>
        <w:t xml:space="preserve">góp phần </w:t>
      </w:r>
      <w:r w:rsidR="00B003D4" w:rsidRPr="00C411F0">
        <w:rPr>
          <w:color w:val="000000" w:themeColor="text1"/>
          <w:lang w:val="vi-VN"/>
        </w:rPr>
        <w:t xml:space="preserve">khuyến khích được sự phát triển của thị trường tín dụng xanh, trái phiếu xanh. Qua đó, thu hút, huy động được nguồn vốn đầu tư tư nhân vào việc thực hiện các mục tiêu môi trường và mục tiêu phát triển bền vững, giảm đáng kể áp lực ngân sách nhà nước trong bối cảnh phải ưu tiên ngân sách để khôi phục kinh tế - xã hội sau ảnh hưởng của dịch bệnh Covid. </w:t>
      </w:r>
    </w:p>
    <w:p w14:paraId="29ACB368" w14:textId="69825384" w:rsidR="00B003D4" w:rsidRPr="00C411F0" w:rsidRDefault="00F66487" w:rsidP="007054F5">
      <w:pPr>
        <w:widowControl w:val="0"/>
        <w:tabs>
          <w:tab w:val="right" w:leader="dot" w:pos="7920"/>
        </w:tabs>
        <w:spacing w:before="120" w:line="276" w:lineRule="auto"/>
        <w:ind w:firstLine="720"/>
        <w:jc w:val="both"/>
        <w:rPr>
          <w:color w:val="000000" w:themeColor="text1"/>
          <w:lang w:val="vi-VN"/>
        </w:rPr>
      </w:pPr>
      <w:r>
        <w:rPr>
          <w:color w:val="000000" w:themeColor="text1"/>
          <w:lang w:val="vi-VN"/>
        </w:rPr>
        <w:t>Theo số liệu thống kê, t</w:t>
      </w:r>
      <w:r w:rsidR="00B003D4" w:rsidRPr="00C411F0">
        <w:rPr>
          <w:color w:val="000000" w:themeColor="text1"/>
          <w:lang w:val="vi-VN"/>
        </w:rPr>
        <w:t>ổng dư nợ cấp tín dụng đối với lĩnh vực xanh giai đoạn 2017-2021 có mức tăng trưởng bình quân đạt hơn 25%/năm, tuy nhiên mới chỉ đạt chưa đầy 4% tổng dư nợ của nền kinh tế</w:t>
      </w:r>
      <w:r w:rsidR="00B003D4" w:rsidRPr="00C411F0">
        <w:rPr>
          <w:rStyle w:val="FootnoteReference"/>
          <w:color w:val="000000" w:themeColor="text1"/>
          <w:lang w:val="vi-VN"/>
        </w:rPr>
        <w:footnoteReference w:id="20"/>
      </w:r>
      <w:r w:rsidR="00B003D4" w:rsidRPr="00C411F0">
        <w:rPr>
          <w:color w:val="000000" w:themeColor="text1"/>
          <w:lang w:val="vi-VN"/>
        </w:rPr>
        <w:t xml:space="preserve">. Trong năm 2021, một số doanh nghiệp đã phát hành trái phiếu xanh quốc tế và trong nước với quy mô hàng nghìn tỷ đồng. Trong khi đó, theo kết quả tham vấn một số doanh nghiệp, nhiều doanh nghiệp, gồm cả các doanh nghiệp lớn đã đầu tư vào dự án xanh, cũng không nắm được đầy đủ thông tin về cơ chế ưu đãi, hỗ trợ của Nhà nước khi được xác nhận dự án xanh. Do đó, nếu triển khai </w:t>
      </w:r>
      <w:r w:rsidR="005709C1">
        <w:rPr>
          <w:color w:val="000000" w:themeColor="text1"/>
          <w:lang w:val="vi-VN"/>
        </w:rPr>
        <w:t>p</w:t>
      </w:r>
      <w:r w:rsidR="00B003D4" w:rsidRPr="00C411F0">
        <w:rPr>
          <w:color w:val="000000" w:themeColor="text1"/>
          <w:lang w:val="vi-VN"/>
        </w:rPr>
        <w:t>hương án này, cùng với việc tăng cường tuyên truyền phổ biến và minh bạch thông tin, thì dự kiến thị trường tín dụng xanh và trái phiếu xanh sẽ phát triển mạnh mẽ hơn, bảo đảm nguồn vốn để hỗ trợ Nhà nước thực hiện hiệu quả mục tiêu môi trường, phát triển bền vững.</w:t>
      </w:r>
    </w:p>
    <w:p w14:paraId="616B5BB8" w14:textId="4232E806" w:rsidR="00B003D4" w:rsidRPr="00C411F0" w:rsidRDefault="0019294F" w:rsidP="007054F5">
      <w:pPr>
        <w:widowControl w:val="0"/>
        <w:tabs>
          <w:tab w:val="right" w:leader="dot" w:pos="7920"/>
        </w:tabs>
        <w:spacing w:before="120" w:line="276" w:lineRule="auto"/>
        <w:ind w:firstLine="720"/>
        <w:jc w:val="both"/>
        <w:rPr>
          <w:color w:val="000000" w:themeColor="text1"/>
          <w:lang w:val="vi-VN"/>
        </w:rPr>
      </w:pPr>
      <w:r>
        <w:rPr>
          <w:color w:val="000000" w:themeColor="text1"/>
          <w:lang w:val="vi-VN"/>
        </w:rPr>
        <w:t>Nhìn chung</w:t>
      </w:r>
      <w:r w:rsidR="00B003D4" w:rsidRPr="00C411F0">
        <w:rPr>
          <w:color w:val="000000" w:themeColor="text1"/>
          <w:lang w:val="vi-VN"/>
        </w:rPr>
        <w:t xml:space="preserve">, </w:t>
      </w:r>
      <w:r w:rsidRPr="007054F5">
        <w:rPr>
          <w:i/>
          <w:iCs/>
          <w:color w:val="000000" w:themeColor="text1"/>
          <w:lang w:val="vi-VN"/>
        </w:rPr>
        <w:t xml:space="preserve">Phương án này (chỉ bắt buộc xác nhận dự án xanh đối với các dự án chuyển đổi xanh và việc xác nhận được thực hiện thông qua cơ quan quản lý nhà nước có thẩm quyền về bảo vệ môi trường. Trường hợp các loại hình dự án còn lại nếu chủ dự án có nhu cầu xác nhận dự án xanh thì việc xác nhận sẽ là tự nguyện và được thực hiện thông qua các tổ chức đánh giá, xác nhận độc lập </w:t>
      </w:r>
      <w:r w:rsidRPr="007054F5">
        <w:rPr>
          <w:i/>
          <w:iCs/>
          <w:color w:val="000000" w:themeColor="text1"/>
          <w:lang w:val="vi-VN"/>
        </w:rPr>
        <w:lastRenderedPageBreak/>
        <w:t xml:space="preserve">(hình thức </w:t>
      </w:r>
      <w:r w:rsidRPr="007054F5">
        <w:rPr>
          <w:i/>
          <w:iCs/>
          <w:color w:val="000000" w:themeColor="text1"/>
        </w:rPr>
        <w:t>xã</w:t>
      </w:r>
      <w:r w:rsidRPr="007054F5">
        <w:rPr>
          <w:i/>
          <w:iCs/>
          <w:color w:val="000000" w:themeColor="text1"/>
          <w:lang w:val="vi-VN"/>
        </w:rPr>
        <w:t xml:space="preserve"> hội hoá)) được xem là </w:t>
      </w:r>
      <w:r w:rsidR="005709C1" w:rsidRPr="007054F5">
        <w:rPr>
          <w:i/>
          <w:iCs/>
          <w:color w:val="000000" w:themeColor="text1"/>
          <w:lang w:val="vi-VN"/>
        </w:rPr>
        <w:t xml:space="preserve">phương án </w:t>
      </w:r>
      <w:r w:rsidRPr="007054F5">
        <w:rPr>
          <w:i/>
          <w:iCs/>
          <w:color w:val="000000" w:themeColor="text1"/>
          <w:lang w:val="vi-VN"/>
        </w:rPr>
        <w:t>tổng thể linh hoạt</w:t>
      </w:r>
      <w:r w:rsidR="00137DC7">
        <w:rPr>
          <w:i/>
          <w:iCs/>
          <w:color w:val="000000" w:themeColor="text1"/>
          <w:lang w:val="vi-VN"/>
        </w:rPr>
        <w:t xml:space="preserve">, </w:t>
      </w:r>
      <w:r w:rsidRPr="007054F5">
        <w:rPr>
          <w:i/>
          <w:iCs/>
          <w:color w:val="000000" w:themeColor="text1"/>
          <w:lang w:val="vi-VN"/>
        </w:rPr>
        <w:t xml:space="preserve">hài hoà </w:t>
      </w:r>
      <w:r w:rsidR="00137DC7">
        <w:rPr>
          <w:i/>
          <w:iCs/>
          <w:color w:val="000000" w:themeColor="text1"/>
          <w:lang w:val="vi-VN"/>
        </w:rPr>
        <w:t xml:space="preserve">và rất hiệu quả </w:t>
      </w:r>
      <w:r w:rsidRPr="007054F5">
        <w:rPr>
          <w:i/>
          <w:iCs/>
          <w:color w:val="000000" w:themeColor="text1"/>
          <w:lang w:val="vi-VN"/>
        </w:rPr>
        <w:t>trong việc tối ưu hoá nguồn lực</w:t>
      </w:r>
      <w:r w:rsidR="007F1BE0" w:rsidRPr="007054F5">
        <w:rPr>
          <w:i/>
          <w:iCs/>
          <w:color w:val="000000" w:themeColor="text1"/>
          <w:lang w:val="vi-VN"/>
        </w:rPr>
        <w:t>, kinh phí</w:t>
      </w:r>
      <w:r w:rsidRPr="007054F5">
        <w:rPr>
          <w:i/>
          <w:iCs/>
          <w:color w:val="000000" w:themeColor="text1"/>
          <w:lang w:val="vi-VN"/>
        </w:rPr>
        <w:t xml:space="preserve"> Nhà nước và nguồn lực</w:t>
      </w:r>
      <w:r w:rsidR="007F1BE0" w:rsidRPr="007054F5">
        <w:rPr>
          <w:i/>
          <w:iCs/>
          <w:color w:val="000000" w:themeColor="text1"/>
          <w:lang w:val="vi-VN"/>
        </w:rPr>
        <w:t>, kinh phí</w:t>
      </w:r>
      <w:r w:rsidRPr="007054F5">
        <w:rPr>
          <w:i/>
          <w:iCs/>
          <w:color w:val="000000" w:themeColor="text1"/>
          <w:lang w:val="vi-VN"/>
        </w:rPr>
        <w:t xml:space="preserve"> tư nhân</w:t>
      </w:r>
      <w:r w:rsidR="007F1BE0" w:rsidRPr="007054F5">
        <w:rPr>
          <w:i/>
          <w:iCs/>
          <w:color w:val="000000" w:themeColor="text1"/>
          <w:lang w:val="vi-VN"/>
        </w:rPr>
        <w:t>;</w:t>
      </w:r>
      <w:r w:rsidRPr="007054F5">
        <w:rPr>
          <w:i/>
          <w:iCs/>
          <w:color w:val="000000" w:themeColor="text1"/>
          <w:lang w:val="vi-VN"/>
        </w:rPr>
        <w:t xml:space="preserve"> </w:t>
      </w:r>
      <w:r w:rsidR="007F1BE0" w:rsidRPr="007054F5">
        <w:rPr>
          <w:i/>
          <w:iCs/>
          <w:color w:val="000000" w:themeColor="text1"/>
          <w:lang w:val="vi-VN"/>
        </w:rPr>
        <w:t>vừa</w:t>
      </w:r>
      <w:r w:rsidRPr="007054F5">
        <w:rPr>
          <w:i/>
          <w:iCs/>
          <w:color w:val="000000" w:themeColor="text1"/>
          <w:lang w:val="vi-VN"/>
        </w:rPr>
        <w:t xml:space="preserve"> đáp ứng được những nhu cầu đa dạng trên thực tế của các tổ chức, cá nhân trong việc xác nhận dự án xanh</w:t>
      </w:r>
      <w:r w:rsidR="007F1BE0" w:rsidRPr="007054F5">
        <w:rPr>
          <w:i/>
          <w:iCs/>
          <w:color w:val="000000" w:themeColor="text1"/>
          <w:lang w:val="vi-VN"/>
        </w:rPr>
        <w:t xml:space="preserve"> đồng thời vẫn bảo đảm được tính chặt chẽ trong quản lý bảo vệ môi trường</w:t>
      </w:r>
      <w:r w:rsidRPr="007054F5">
        <w:rPr>
          <w:i/>
          <w:iCs/>
          <w:color w:val="000000" w:themeColor="text1"/>
          <w:lang w:val="vi-VN"/>
        </w:rPr>
        <w:t xml:space="preserve">. </w:t>
      </w:r>
      <w:r w:rsidR="007F1BE0">
        <w:rPr>
          <w:color w:val="000000" w:themeColor="text1"/>
          <w:lang w:val="vi-VN"/>
        </w:rPr>
        <w:t>Một mặt, v</w:t>
      </w:r>
      <w:r>
        <w:rPr>
          <w:color w:val="000000" w:themeColor="text1"/>
          <w:lang w:val="vi-VN"/>
        </w:rPr>
        <w:t xml:space="preserve">iệc xã hội hoá dịch vụ xác nhận xanh đối với các trường hợp không bắt buộc </w:t>
      </w:r>
      <w:r w:rsidR="00AD2873">
        <w:rPr>
          <w:color w:val="000000" w:themeColor="text1"/>
          <w:lang w:val="vi-VN"/>
        </w:rPr>
        <w:t xml:space="preserve">sẽ thúc đẩy sự tham gia của các bên liên quan theo hướng kinh tế thị trường có sự giám sát của Nhà nước. Khi này, </w:t>
      </w:r>
      <w:r w:rsidR="00D53BAB">
        <w:rPr>
          <w:color w:val="000000" w:themeColor="text1"/>
          <w:lang w:val="vi-VN"/>
        </w:rPr>
        <w:t xml:space="preserve">hiệu quả mục tiêu chính sách vẫn đạt được </w:t>
      </w:r>
      <w:r w:rsidR="00B003D4" w:rsidRPr="00C411F0">
        <w:rPr>
          <w:color w:val="000000" w:themeColor="text1"/>
          <w:lang w:val="vi-VN"/>
        </w:rPr>
        <w:t xml:space="preserve">trong </w:t>
      </w:r>
      <w:r w:rsidR="00D53BAB">
        <w:rPr>
          <w:color w:val="000000" w:themeColor="text1"/>
          <w:lang w:val="vi-VN"/>
        </w:rPr>
        <w:t xml:space="preserve">khi </w:t>
      </w:r>
      <w:r w:rsidR="00B003D4" w:rsidRPr="00C411F0">
        <w:rPr>
          <w:color w:val="000000" w:themeColor="text1"/>
          <w:lang w:val="vi-VN"/>
        </w:rPr>
        <w:t xml:space="preserve">Nhà nước không phải bố trí </w:t>
      </w:r>
      <w:r w:rsidR="007F1BE0">
        <w:rPr>
          <w:color w:val="000000" w:themeColor="text1"/>
          <w:lang w:val="vi-VN"/>
        </w:rPr>
        <w:t>ngu</w:t>
      </w:r>
      <w:r w:rsidR="00B003D4" w:rsidRPr="00C411F0">
        <w:rPr>
          <w:color w:val="000000" w:themeColor="text1"/>
          <w:lang w:val="vi-VN"/>
        </w:rPr>
        <w:t xml:space="preserve">ồn lực, kinh phí để </w:t>
      </w:r>
      <w:r w:rsidR="00AD2873">
        <w:rPr>
          <w:color w:val="000000" w:themeColor="text1"/>
          <w:lang w:val="vi-VN"/>
        </w:rPr>
        <w:t xml:space="preserve">cơ quan quản lý nhà nước thực hiện </w:t>
      </w:r>
      <w:r w:rsidR="00D53BAB">
        <w:rPr>
          <w:color w:val="000000" w:themeColor="text1"/>
          <w:lang w:val="vi-VN"/>
        </w:rPr>
        <w:t xml:space="preserve">việc </w:t>
      </w:r>
      <w:r w:rsidR="00B003D4" w:rsidRPr="00C411F0">
        <w:rPr>
          <w:color w:val="000000" w:themeColor="text1"/>
          <w:lang w:val="vi-VN"/>
        </w:rPr>
        <w:t>thẩm định, xác nhận dự án xanh</w:t>
      </w:r>
      <w:r>
        <w:rPr>
          <w:color w:val="000000" w:themeColor="text1"/>
          <w:lang w:val="vi-VN"/>
        </w:rPr>
        <w:t xml:space="preserve">. </w:t>
      </w:r>
      <w:r w:rsidR="007F1BE0">
        <w:rPr>
          <w:color w:val="000000" w:themeColor="text1"/>
          <w:lang w:val="vi-VN"/>
        </w:rPr>
        <w:t>Mặt khác</w:t>
      </w:r>
      <w:r>
        <w:rPr>
          <w:color w:val="000000" w:themeColor="text1"/>
          <w:lang w:val="vi-VN"/>
        </w:rPr>
        <w:t>,</w:t>
      </w:r>
      <w:r w:rsidR="007F1BE0">
        <w:rPr>
          <w:color w:val="000000" w:themeColor="text1"/>
          <w:lang w:val="vi-VN"/>
        </w:rPr>
        <w:t xml:space="preserve"> việc kiểm soát</w:t>
      </w:r>
      <w:r w:rsidR="00137DC7">
        <w:rPr>
          <w:color w:val="000000" w:themeColor="text1"/>
          <w:lang w:val="vi-VN"/>
        </w:rPr>
        <w:t xml:space="preserve"> chặt chẽ</w:t>
      </w:r>
      <w:r>
        <w:rPr>
          <w:color w:val="000000" w:themeColor="text1"/>
          <w:lang w:val="vi-VN"/>
        </w:rPr>
        <w:t xml:space="preserve"> các dự án chuyển đổi xanh</w:t>
      </w:r>
      <w:r w:rsidR="007F1BE0">
        <w:rPr>
          <w:color w:val="000000" w:themeColor="text1"/>
          <w:lang w:val="vi-VN"/>
        </w:rPr>
        <w:t xml:space="preserve"> vẫn rất</w:t>
      </w:r>
      <w:r>
        <w:rPr>
          <w:color w:val="000000" w:themeColor="text1"/>
          <w:lang w:val="vi-VN"/>
        </w:rPr>
        <w:t xml:space="preserve"> </w:t>
      </w:r>
      <w:r w:rsidR="007F1BE0">
        <w:rPr>
          <w:color w:val="000000" w:themeColor="text1"/>
          <w:lang w:val="vi-VN"/>
        </w:rPr>
        <w:t>cần thiết. Với số loại hình dự án và số lượng đối tượng thực hiện không nhiều</w:t>
      </w:r>
      <w:r w:rsidR="00137DC7">
        <w:rPr>
          <w:color w:val="000000" w:themeColor="text1"/>
          <w:lang w:val="vi-VN"/>
        </w:rPr>
        <w:t xml:space="preserve"> (05 loại hình dự án)</w:t>
      </w:r>
      <w:r w:rsidR="007F1BE0">
        <w:rPr>
          <w:color w:val="000000" w:themeColor="text1"/>
          <w:lang w:val="vi-VN"/>
        </w:rPr>
        <w:t>, nhưng đòi hỏi quản lý chặt chẽ, thì việc giao cơ quan quản lý nhà nước có thẩm quyền trong BVMT thực hiện xác nhận xanh là phù hợp. Khi các dự án chuyển đổi xanh được kiểm soát chặt chẽ</w:t>
      </w:r>
      <w:r w:rsidR="00137DC7">
        <w:rPr>
          <w:color w:val="000000" w:themeColor="text1"/>
          <w:lang w:val="vi-VN"/>
        </w:rPr>
        <w:t xml:space="preserve"> (xác nhận bắt buộc và do cơ quan quản lý nhà nước thực hiện), </w:t>
      </w:r>
      <w:r w:rsidR="007F1BE0">
        <w:rPr>
          <w:color w:val="000000" w:themeColor="text1"/>
          <w:lang w:val="vi-VN"/>
        </w:rPr>
        <w:t xml:space="preserve">mục tiêu dự án khi cấp tín dụng xanh, phát hành trái phiếu xanh </w:t>
      </w:r>
      <w:r w:rsidR="00A84A21">
        <w:rPr>
          <w:color w:val="000000" w:themeColor="text1"/>
          <w:lang w:val="vi-VN"/>
        </w:rPr>
        <w:t>sẽ được hiện thực hoá</w:t>
      </w:r>
      <w:r w:rsidR="007F1BE0">
        <w:rPr>
          <w:color w:val="000000" w:themeColor="text1"/>
          <w:lang w:val="vi-VN"/>
        </w:rPr>
        <w:t xml:space="preserve">, thì lợi ích kinh tế của Nhà nước sẽ là tối đa vì vừa huy động được nguồn lực tư nhân tham gia đầu tư vào các dự án này, vừa tránh được những thiệt hại kinh tế lớn do giảm thiểu </w:t>
      </w:r>
      <w:r w:rsidR="00A84A21">
        <w:rPr>
          <w:color w:val="000000" w:themeColor="text1"/>
          <w:lang w:val="vi-VN"/>
        </w:rPr>
        <w:t xml:space="preserve">được </w:t>
      </w:r>
      <w:r w:rsidR="007F1BE0">
        <w:rPr>
          <w:color w:val="000000" w:themeColor="text1"/>
          <w:lang w:val="vi-VN"/>
        </w:rPr>
        <w:t>các trường hợp “rửa xanh” (green washing) dự án đầu tư.</w:t>
      </w:r>
    </w:p>
    <w:p w14:paraId="3324354C" w14:textId="77777777" w:rsidR="00A84A21" w:rsidRDefault="00B003D4" w:rsidP="007054F5">
      <w:pPr>
        <w:widowControl w:val="0"/>
        <w:spacing w:before="120" w:line="276" w:lineRule="auto"/>
        <w:ind w:firstLine="720"/>
        <w:jc w:val="both"/>
        <w:rPr>
          <w:i/>
          <w:color w:val="000000" w:themeColor="text1"/>
          <w:highlight w:val="white"/>
          <w:lang w:val="vi-VN"/>
        </w:rPr>
      </w:pPr>
      <w:r w:rsidRPr="00C411F0">
        <w:rPr>
          <w:i/>
          <w:color w:val="000000" w:themeColor="text1"/>
          <w:highlight w:val="white"/>
          <w:lang w:val="vi-VN"/>
        </w:rPr>
        <w:t xml:space="preserve">- Tác động tiêu cực: </w:t>
      </w:r>
    </w:p>
    <w:p w14:paraId="1438C3AA" w14:textId="75861017" w:rsidR="00FC289C" w:rsidRDefault="00B003D4" w:rsidP="007054F5">
      <w:pPr>
        <w:widowControl w:val="0"/>
        <w:spacing w:before="120" w:line="276" w:lineRule="auto"/>
        <w:ind w:firstLine="720"/>
        <w:jc w:val="both"/>
        <w:rPr>
          <w:color w:val="000000" w:themeColor="text1"/>
          <w:lang w:val="vi-VN"/>
        </w:rPr>
      </w:pPr>
      <w:r w:rsidRPr="00C411F0">
        <w:rPr>
          <w:iCs/>
          <w:color w:val="000000" w:themeColor="text1"/>
          <w:highlight w:val="white"/>
          <w:lang w:val="vi-VN"/>
        </w:rPr>
        <w:t xml:space="preserve">Với Phương án này, </w:t>
      </w:r>
      <w:r w:rsidR="00822BDF">
        <w:rPr>
          <w:iCs/>
          <w:color w:val="000000" w:themeColor="text1"/>
          <w:highlight w:val="white"/>
          <w:lang w:val="vi-VN"/>
        </w:rPr>
        <w:t xml:space="preserve">nếu Nhà nước muốn mở rộng các tổ chức có thể thực hiện dịch vụ xác nhận dự án xanh thì </w:t>
      </w:r>
      <w:r w:rsidRPr="00C411F0">
        <w:rPr>
          <w:iCs/>
          <w:color w:val="000000" w:themeColor="text1"/>
          <w:highlight w:val="white"/>
          <w:lang w:val="vi-VN"/>
        </w:rPr>
        <w:t xml:space="preserve">trong giai đoạn đầu tiên </w:t>
      </w:r>
      <w:r w:rsidRPr="00C411F0">
        <w:rPr>
          <w:color w:val="000000" w:themeColor="text1"/>
          <w:lang w:val="vi-VN"/>
        </w:rPr>
        <w:t xml:space="preserve">Nhà nước (Bộ TNMT và các Bộ, ngành liên quan) sẽ phải </w:t>
      </w:r>
      <w:r w:rsidR="00D53BAB">
        <w:rPr>
          <w:color w:val="000000" w:themeColor="text1"/>
          <w:lang w:val="vi-VN"/>
        </w:rPr>
        <w:t xml:space="preserve">rà soát, điều chỉnh một số Nghị định có liên quan để mở rộng </w:t>
      </w:r>
      <w:r w:rsidR="00C50BB8">
        <w:rPr>
          <w:color w:val="000000" w:themeColor="text1"/>
          <w:lang w:val="vi-VN"/>
        </w:rPr>
        <w:t>chức năng hoạt động của các tổ chức có năng lực hiện nay</w:t>
      </w:r>
      <w:r w:rsidR="00FC289C">
        <w:rPr>
          <w:color w:val="000000" w:themeColor="text1"/>
          <w:lang w:val="vi-VN"/>
        </w:rPr>
        <w:t xml:space="preserve"> (dự kiến trước mắt cần sửa đổi, bổ sung đối với Nghị định số 107/2016/NĐ-CP của Chính phủ ngày 01/7/2016 quy định về điều kiện kinh doanh dịch vụ đánh giá sự phù hợp</w:t>
      </w:r>
      <w:r w:rsidR="004973C5">
        <w:rPr>
          <w:color w:val="000000" w:themeColor="text1"/>
          <w:lang w:val="vi-VN"/>
        </w:rPr>
        <w:t>, Nghị định số 17/2012/NĐ-CP của Chính phủ ngày 13/3/2012 quy định chi tiết và hướng dẫn thi hành một số điều của Luật kiểm toán độc lập</w:t>
      </w:r>
      <w:r w:rsidR="00FC289C">
        <w:rPr>
          <w:color w:val="000000" w:themeColor="text1"/>
          <w:lang w:val="vi-VN"/>
        </w:rPr>
        <w:t xml:space="preserve">).  </w:t>
      </w:r>
      <w:r w:rsidRPr="00C411F0">
        <w:rPr>
          <w:color w:val="000000" w:themeColor="text1"/>
          <w:lang w:val="vi-VN"/>
        </w:rPr>
        <w:t xml:space="preserve"> </w:t>
      </w:r>
    </w:p>
    <w:p w14:paraId="6EAA91DC" w14:textId="64C0DC66" w:rsidR="00B003D4" w:rsidRPr="009605FD" w:rsidRDefault="00B003D4" w:rsidP="007054F5">
      <w:pPr>
        <w:widowControl w:val="0"/>
        <w:spacing w:before="120" w:line="276" w:lineRule="auto"/>
        <w:ind w:firstLine="720"/>
        <w:jc w:val="both"/>
        <w:rPr>
          <w:bCs/>
          <w:color w:val="000000" w:themeColor="text1"/>
          <w:lang w:val="vi-VN"/>
        </w:rPr>
      </w:pPr>
      <w:r w:rsidRPr="00C411F0">
        <w:rPr>
          <w:color w:val="000000" w:themeColor="text1"/>
          <w:lang w:val="vi-VN"/>
        </w:rPr>
        <w:t xml:space="preserve">Theo </w:t>
      </w:r>
      <w:r w:rsidRPr="009605FD">
        <w:rPr>
          <w:bCs/>
          <w:color w:val="000000" w:themeColor="text1"/>
          <w:lang w:val="vi-VN"/>
        </w:rPr>
        <w:t>quy định về mức chi xây dựng văn bản quy phạm pháp luật tại</w:t>
      </w:r>
      <w:r w:rsidRPr="00C411F0">
        <w:rPr>
          <w:bCs/>
          <w:color w:val="000000" w:themeColor="text1"/>
          <w:lang w:val="vi-VN"/>
        </w:rPr>
        <w:t xml:space="preserve"> </w:t>
      </w:r>
      <w:r w:rsidRPr="009605FD">
        <w:rPr>
          <w:bCs/>
          <w:color w:val="000000" w:themeColor="text1"/>
          <w:lang w:val="vi-VN"/>
        </w:rPr>
        <w:t xml:space="preserve">Thông tư 338/2016/TT-BTC và có tính đến chi phí trung bình thời gian đội ngũ cán bộ chuyên môn phải bỏ ra để xây dựng văn bản, thì tổng chi phí xây dựng, ban hành </w:t>
      </w:r>
      <w:r w:rsidR="00FC289C">
        <w:rPr>
          <w:bCs/>
          <w:color w:val="000000" w:themeColor="text1"/>
          <w:lang w:val="vi-VN"/>
        </w:rPr>
        <w:t>văn bản để sửa đổi, bổ sung các Nghị định nêu trên</w:t>
      </w:r>
      <w:r w:rsidRPr="009605FD">
        <w:rPr>
          <w:bCs/>
          <w:color w:val="000000" w:themeColor="text1"/>
          <w:lang w:val="vi-VN"/>
        </w:rPr>
        <w:t xml:space="preserve"> là khoảng </w:t>
      </w:r>
      <w:r w:rsidR="00FC289C">
        <w:rPr>
          <w:b/>
          <w:i/>
          <w:iCs/>
          <w:color w:val="000000" w:themeColor="text1"/>
          <w:lang w:val="vi-VN"/>
        </w:rPr>
        <w:t>10</w:t>
      </w:r>
      <w:r w:rsidR="001415D3">
        <w:rPr>
          <w:b/>
          <w:i/>
          <w:iCs/>
          <w:color w:val="000000" w:themeColor="text1"/>
          <w:lang w:val="vi-VN"/>
        </w:rPr>
        <w:t>5</w:t>
      </w:r>
      <w:r w:rsidRPr="009605FD">
        <w:rPr>
          <w:b/>
          <w:i/>
          <w:iCs/>
          <w:color w:val="000000" w:themeColor="text1"/>
          <w:lang w:val="vi-VN"/>
        </w:rPr>
        <w:t xml:space="preserve"> triệu đồng</w:t>
      </w:r>
      <w:r w:rsidRPr="009605FD">
        <w:rPr>
          <w:bCs/>
          <w:color w:val="000000" w:themeColor="text1"/>
          <w:lang w:val="vi-VN"/>
        </w:rPr>
        <w:t>.</w:t>
      </w:r>
    </w:p>
    <w:p w14:paraId="20AA93F8" w14:textId="161EDCEC" w:rsidR="00B003D4" w:rsidRDefault="00B003D4" w:rsidP="007054F5">
      <w:pPr>
        <w:widowControl w:val="0"/>
        <w:spacing w:before="120" w:line="276" w:lineRule="auto"/>
        <w:ind w:firstLine="720"/>
        <w:jc w:val="both"/>
        <w:rPr>
          <w:color w:val="000000" w:themeColor="text1"/>
          <w:lang w:val="vi-VN"/>
        </w:rPr>
      </w:pPr>
      <w:r w:rsidRPr="009605FD">
        <w:rPr>
          <w:bCs/>
          <w:color w:val="000000" w:themeColor="text1"/>
          <w:lang w:val="vi-VN"/>
        </w:rPr>
        <w:t>Bên</w:t>
      </w:r>
      <w:r w:rsidRPr="00C411F0">
        <w:rPr>
          <w:bCs/>
          <w:color w:val="000000" w:themeColor="text1"/>
          <w:lang w:val="vi-VN"/>
        </w:rPr>
        <w:t xml:space="preserve"> cạnh đó, Nhà nước cũng phải bố trí nguồn lực, kinh phí để </w:t>
      </w:r>
      <w:r w:rsidR="00FC289C">
        <w:rPr>
          <w:color w:val="000000" w:themeColor="text1"/>
          <w:lang w:val="vi-VN"/>
        </w:rPr>
        <w:t>thực hiện</w:t>
      </w:r>
      <w:r w:rsidRPr="00C411F0">
        <w:rPr>
          <w:color w:val="000000" w:themeColor="text1"/>
          <w:lang w:val="vi-VN"/>
        </w:rPr>
        <w:t xml:space="preserve"> kiểm tra, giám sát hoạt động </w:t>
      </w:r>
      <w:r w:rsidR="00FC289C">
        <w:rPr>
          <w:color w:val="000000" w:themeColor="text1"/>
          <w:lang w:val="vi-VN"/>
        </w:rPr>
        <w:t xml:space="preserve">xác nhận xanh </w:t>
      </w:r>
      <w:r w:rsidRPr="00C411F0">
        <w:rPr>
          <w:color w:val="000000" w:themeColor="text1"/>
          <w:lang w:val="vi-VN"/>
        </w:rPr>
        <w:t>của các tổ chức này.</w:t>
      </w:r>
      <w:r w:rsidR="00FC289C">
        <w:rPr>
          <w:color w:val="000000" w:themeColor="text1"/>
          <w:lang w:val="vi-VN"/>
        </w:rPr>
        <w:t xml:space="preserve"> Tuy nhiên, phần kinh phí này sẽ không đáng kể do việc kiểm tra, giám sát này có thể kết hợp trong quá trình kiểm tra, giám sát hoạt động các tổ chức theo lĩnh vực chung như kiểm toán, khoa học công nghệ.</w:t>
      </w:r>
    </w:p>
    <w:p w14:paraId="5AD85919" w14:textId="78BF388C" w:rsidR="00023641" w:rsidRPr="00C411F0" w:rsidRDefault="00A84A21" w:rsidP="007054F5">
      <w:pPr>
        <w:widowControl w:val="0"/>
        <w:tabs>
          <w:tab w:val="right" w:leader="dot" w:pos="7920"/>
        </w:tabs>
        <w:spacing w:before="120" w:line="276" w:lineRule="auto"/>
        <w:ind w:firstLine="720"/>
        <w:jc w:val="both"/>
        <w:rPr>
          <w:color w:val="000000" w:themeColor="text1"/>
          <w:lang w:val="vi-VN"/>
        </w:rPr>
      </w:pPr>
      <w:r>
        <w:rPr>
          <w:color w:val="000000" w:themeColor="text1"/>
          <w:lang w:val="vi-VN"/>
        </w:rPr>
        <w:lastRenderedPageBreak/>
        <w:t xml:space="preserve">Còn đối với việc xác nhận dự án chuyển đổi xanh, </w:t>
      </w:r>
      <w:r w:rsidRPr="00C411F0">
        <w:rPr>
          <w:color w:val="000000" w:themeColor="text1"/>
          <w:lang w:val="vi-VN"/>
        </w:rPr>
        <w:t xml:space="preserve">Nhà nước </w:t>
      </w:r>
      <w:r>
        <w:rPr>
          <w:color w:val="000000" w:themeColor="text1"/>
          <w:lang w:val="vi-VN"/>
        </w:rPr>
        <w:t xml:space="preserve">sẽ </w:t>
      </w:r>
      <w:r w:rsidRPr="00C411F0">
        <w:rPr>
          <w:color w:val="000000" w:themeColor="text1"/>
          <w:lang w:val="vi-VN"/>
        </w:rPr>
        <w:t>phải bố trí nguồn lực, mất thời gian, công sức và cả chi phí để thẩm định, xác nhận dự án xanh cho các tổ chức, cá nhân.</w:t>
      </w:r>
      <w:r>
        <w:rPr>
          <w:color w:val="000000" w:themeColor="text1"/>
          <w:lang w:val="vi-VN"/>
        </w:rPr>
        <w:t xml:space="preserve"> Tuy nhiên, như đã trình bày ở trên, số lượng đối tượng thực hiện (cho 05 loại hình dự án chuyển đổi xanh) dự kiến sẽ là không đáng kể nên nguồn lực, chi phí Nhà nước phải bỏ ra sẽ là không lớn (ít hơn rất</w:t>
      </w:r>
      <w:r w:rsidR="00B72D9B">
        <w:rPr>
          <w:color w:val="000000" w:themeColor="text1"/>
          <w:lang w:val="vi-VN"/>
        </w:rPr>
        <w:t xml:space="preserve"> </w:t>
      </w:r>
      <w:r>
        <w:rPr>
          <w:color w:val="000000" w:themeColor="text1"/>
          <w:lang w:val="vi-VN"/>
        </w:rPr>
        <w:t>nhiều so với trường hợp cơ quan quản lý nước nước</w:t>
      </w:r>
      <w:r w:rsidR="00023641">
        <w:rPr>
          <w:color w:val="000000" w:themeColor="text1"/>
          <w:lang w:val="vi-VN"/>
        </w:rPr>
        <w:t xml:space="preserve"> phải</w:t>
      </w:r>
      <w:r>
        <w:rPr>
          <w:color w:val="000000" w:themeColor="text1"/>
          <w:lang w:val="vi-VN"/>
        </w:rPr>
        <w:t xml:space="preserve"> thực hiện xác nhận xanh cho tất cả các loại hình dự án thuộc Danh mục phân loại xanh.).</w:t>
      </w:r>
    </w:p>
    <w:p w14:paraId="4AFB4C10" w14:textId="77777777" w:rsidR="00B003D4" w:rsidRPr="00C411F0" w:rsidRDefault="00B003D4" w:rsidP="007054F5">
      <w:pPr>
        <w:widowControl w:val="0"/>
        <w:spacing w:before="120" w:line="276" w:lineRule="auto"/>
        <w:ind w:firstLine="720"/>
        <w:jc w:val="both"/>
        <w:rPr>
          <w:b/>
          <w:bCs/>
          <w:i/>
          <w:color w:val="000000" w:themeColor="text1"/>
          <w:highlight w:val="white"/>
          <w:lang w:val="vi-VN"/>
        </w:rPr>
      </w:pPr>
      <w:r w:rsidRPr="00C411F0">
        <w:rPr>
          <w:b/>
          <w:bCs/>
          <w:i/>
          <w:color w:val="000000" w:themeColor="text1"/>
          <w:highlight w:val="white"/>
          <w:lang w:val="vi-VN"/>
        </w:rPr>
        <w:t xml:space="preserve">* Đối với Doanh nghiệp: </w:t>
      </w:r>
    </w:p>
    <w:p w14:paraId="25A1D9C8" w14:textId="77777777" w:rsidR="00B003D4" w:rsidRPr="00C411F0" w:rsidRDefault="00B003D4" w:rsidP="007054F5">
      <w:pPr>
        <w:widowControl w:val="0"/>
        <w:spacing w:before="120" w:line="276" w:lineRule="auto"/>
        <w:ind w:firstLine="720"/>
        <w:jc w:val="both"/>
        <w:rPr>
          <w:i/>
          <w:color w:val="000000" w:themeColor="text1"/>
          <w:highlight w:val="white"/>
          <w:lang w:val="vi-VN"/>
        </w:rPr>
      </w:pPr>
      <w:r w:rsidRPr="00C411F0">
        <w:rPr>
          <w:i/>
          <w:color w:val="000000" w:themeColor="text1"/>
          <w:highlight w:val="white"/>
          <w:lang w:val="vi-VN"/>
        </w:rPr>
        <w:t>- Tác động tích cực:</w:t>
      </w:r>
    </w:p>
    <w:p w14:paraId="2E2D73D3" w14:textId="77777777" w:rsidR="001415D3" w:rsidRDefault="00B003D4" w:rsidP="007054F5">
      <w:pPr>
        <w:widowControl w:val="0"/>
        <w:spacing w:before="120" w:line="276" w:lineRule="auto"/>
        <w:ind w:firstLine="720"/>
        <w:jc w:val="both"/>
        <w:rPr>
          <w:iCs/>
          <w:color w:val="000000" w:themeColor="text1"/>
          <w:highlight w:val="white"/>
          <w:lang w:val="vi-VN"/>
        </w:rPr>
      </w:pPr>
      <w:r w:rsidRPr="00C411F0">
        <w:rPr>
          <w:i/>
          <w:color w:val="000000" w:themeColor="text1"/>
          <w:highlight w:val="white"/>
          <w:lang w:val="vi-VN"/>
        </w:rPr>
        <w:t>+ Đối với chủ dự án đầu tư có nhu cầu xác nhận dự án xanh và chủ thể phát hành TPX là doanh nghiệp:</w:t>
      </w:r>
      <w:r w:rsidRPr="00C411F0">
        <w:rPr>
          <w:iCs/>
          <w:color w:val="000000" w:themeColor="text1"/>
          <w:highlight w:val="white"/>
          <w:lang w:val="vi-VN"/>
        </w:rPr>
        <w:t xml:space="preserve"> </w:t>
      </w:r>
    </w:p>
    <w:p w14:paraId="4D2C8A93" w14:textId="4781CA49" w:rsidR="00B003D4" w:rsidRPr="00C411F0" w:rsidRDefault="00B003D4" w:rsidP="007054F5">
      <w:pPr>
        <w:widowControl w:val="0"/>
        <w:spacing w:before="120" w:line="276" w:lineRule="auto"/>
        <w:ind w:firstLine="720"/>
        <w:jc w:val="both"/>
        <w:rPr>
          <w:color w:val="000000" w:themeColor="text1"/>
          <w:lang w:val="vi-VN"/>
        </w:rPr>
      </w:pPr>
      <w:r w:rsidRPr="00C411F0">
        <w:rPr>
          <w:iCs/>
          <w:color w:val="000000" w:themeColor="text1"/>
          <w:highlight w:val="white"/>
          <w:lang w:val="vi-VN"/>
        </w:rPr>
        <w:t xml:space="preserve">Với </w:t>
      </w:r>
      <w:r w:rsidR="00041778">
        <w:rPr>
          <w:iCs/>
          <w:color w:val="000000" w:themeColor="text1"/>
          <w:highlight w:val="white"/>
          <w:lang w:val="vi-VN"/>
        </w:rPr>
        <w:t>phương án này</w:t>
      </w:r>
      <w:r w:rsidRPr="00C411F0">
        <w:rPr>
          <w:iCs/>
          <w:color w:val="000000" w:themeColor="text1"/>
          <w:highlight w:val="white"/>
          <w:lang w:val="vi-VN"/>
        </w:rPr>
        <w:t xml:space="preserve">, </w:t>
      </w:r>
      <w:r w:rsidR="001415D3">
        <w:rPr>
          <w:iCs/>
          <w:color w:val="000000" w:themeColor="text1"/>
          <w:highlight w:val="white"/>
          <w:lang w:val="vi-VN"/>
        </w:rPr>
        <w:t xml:space="preserve">đối với trường hợp các dự án xanh thuộc loại hình từ số 01 đến số 75, </w:t>
      </w:r>
      <w:r w:rsidRPr="00C411F0">
        <w:rPr>
          <w:iCs/>
          <w:color w:val="000000" w:themeColor="text1"/>
          <w:highlight w:val="white"/>
          <w:lang w:val="vi-VN"/>
        </w:rPr>
        <w:t xml:space="preserve">chủ dự án đầu tư và </w:t>
      </w:r>
      <w:r w:rsidR="001415D3">
        <w:rPr>
          <w:iCs/>
          <w:color w:val="000000" w:themeColor="text1"/>
          <w:highlight w:val="white"/>
          <w:lang w:val="vi-VN"/>
        </w:rPr>
        <w:t xml:space="preserve">doanh nghiệp </w:t>
      </w:r>
      <w:r w:rsidRPr="00C411F0">
        <w:rPr>
          <w:iCs/>
          <w:color w:val="000000" w:themeColor="text1"/>
          <w:highlight w:val="white"/>
          <w:lang w:val="vi-VN"/>
        </w:rPr>
        <w:t>phát hành trái phiếu xanh có cơ hội được hưởng các ưu đãi, hỗ trợ của nhà nước theo quy định</w:t>
      </w:r>
      <w:r w:rsidR="00041778">
        <w:rPr>
          <w:iCs/>
          <w:color w:val="000000" w:themeColor="text1"/>
          <w:highlight w:val="white"/>
          <w:lang w:val="vi-VN"/>
        </w:rPr>
        <w:t xml:space="preserve"> một cách nhanh chóng, thuận lợi hơn</w:t>
      </w:r>
      <w:r w:rsidR="001415D3">
        <w:rPr>
          <w:iCs/>
          <w:color w:val="000000" w:themeColor="text1"/>
          <w:highlight w:val="white"/>
          <w:lang w:val="vi-VN"/>
        </w:rPr>
        <w:t xml:space="preserve"> mà không phải mất nhiều nguồn lực, kinh phí do không phải thực hiện thủ tục xác nhận</w:t>
      </w:r>
      <w:r w:rsidRPr="00C411F0">
        <w:rPr>
          <w:iCs/>
          <w:color w:val="000000" w:themeColor="text1"/>
          <w:highlight w:val="white"/>
          <w:lang w:val="vi-VN"/>
        </w:rPr>
        <w:t xml:space="preserve">. </w:t>
      </w:r>
      <w:r w:rsidRPr="00C411F0">
        <w:rPr>
          <w:color w:val="000000" w:themeColor="text1"/>
          <w:lang w:val="vi-VN"/>
        </w:rPr>
        <w:t xml:space="preserve">Đối với chủ dự án đầu tư, cơ hội được hưởng hỗ trợ lãi suất trực tiếp từ ngân sách nhà nước tại TCTD sẽ đem lại lợi ích kinh tế cao hơn để tiếp tục đầu tư, duy trì, mở rộng dự án. Đối với chủ thể phát hành TPX là doanh nghiệp, trước mắt sẽ được giảm 50% chi phí </w:t>
      </w:r>
      <w:r w:rsidRPr="00C411F0">
        <w:rPr>
          <w:iCs/>
          <w:color w:val="000000" w:themeColor="text1"/>
          <w:highlight w:val="white"/>
          <w:lang w:val="vi-VN"/>
        </w:rPr>
        <w:t xml:space="preserve">dịch vụ về đăng ký niêm yết, quản lý niêm yết, giao dịch, đăng ký, lưu ký chứng khoán… với tổng kinh phí khoảng </w:t>
      </w:r>
      <w:r w:rsidRPr="00C411F0">
        <w:rPr>
          <w:b/>
          <w:bCs/>
          <w:i/>
          <w:color w:val="000000" w:themeColor="text1"/>
          <w:highlight w:val="white"/>
          <w:lang w:val="vi-VN"/>
        </w:rPr>
        <w:t>25-30 triệu đồng/thành viên</w:t>
      </w:r>
      <w:r w:rsidRPr="00C411F0">
        <w:rPr>
          <w:iCs/>
          <w:color w:val="000000" w:themeColor="text1"/>
          <w:highlight w:val="white"/>
          <w:lang w:val="vi-VN"/>
        </w:rPr>
        <w:t>; về lâu dài được giảm thuế thu nhập doanh nghiệp đối với các</w:t>
      </w:r>
      <w:r w:rsidRPr="00C411F0">
        <w:rPr>
          <w:iCs/>
          <w:color w:val="000000" w:themeColor="text1"/>
          <w:lang w:val="vi-VN"/>
        </w:rPr>
        <w:t xml:space="preserve"> </w:t>
      </w:r>
      <w:r w:rsidRPr="00C411F0">
        <w:rPr>
          <w:color w:val="000000" w:themeColor="text1"/>
          <w:lang w:val="vi-VN"/>
        </w:rPr>
        <w:t xml:space="preserve">nguồn thu nhập phát sinh từ trái phiếu xanh. </w:t>
      </w:r>
    </w:p>
    <w:p w14:paraId="40CCF6BB" w14:textId="3A6C9818" w:rsidR="00B003D4" w:rsidRPr="00C411F0" w:rsidRDefault="003C2EC6" w:rsidP="007054F5">
      <w:pPr>
        <w:widowControl w:val="0"/>
        <w:spacing w:before="120" w:line="276" w:lineRule="auto"/>
        <w:ind w:firstLine="720"/>
        <w:jc w:val="both"/>
        <w:rPr>
          <w:color w:val="000000" w:themeColor="text1"/>
          <w:lang w:val="vi-VN"/>
        </w:rPr>
      </w:pPr>
      <w:r>
        <w:rPr>
          <w:iCs/>
          <w:color w:val="000000" w:themeColor="text1"/>
          <w:lang w:val="vi-VN"/>
        </w:rPr>
        <w:t>C</w:t>
      </w:r>
      <w:r w:rsidR="00B003D4" w:rsidRPr="00C411F0">
        <w:rPr>
          <w:iCs/>
          <w:color w:val="000000" w:themeColor="text1"/>
          <w:lang w:val="vi-VN"/>
        </w:rPr>
        <w:t xml:space="preserve">hủ dự án sẽ thuận lợi hơn, rút ngắn được thời gian chờ đợi, chi phí khi đề nghị TCTD cấp tín dụng xanh; chủ thể phát hành trái phiếu xanh cũng </w:t>
      </w:r>
      <w:r w:rsidR="00B003D4" w:rsidRPr="00C411F0">
        <w:rPr>
          <w:color w:val="000000" w:themeColor="text1"/>
          <w:lang w:val="vi-VN"/>
        </w:rPr>
        <w:t xml:space="preserve">có cơ hội huy động, thu hút nguồn vốn tốt </w:t>
      </w:r>
      <w:r w:rsidR="00041778">
        <w:rPr>
          <w:color w:val="000000" w:themeColor="text1"/>
          <w:lang w:val="vi-VN"/>
        </w:rPr>
        <w:t xml:space="preserve">sớm </w:t>
      </w:r>
      <w:r w:rsidR="00B003D4" w:rsidRPr="00C411F0">
        <w:rPr>
          <w:color w:val="000000" w:themeColor="text1"/>
          <w:lang w:val="vi-VN"/>
        </w:rPr>
        <w:t>hơn từ các nhà đầu tư.</w:t>
      </w:r>
    </w:p>
    <w:p w14:paraId="122228CC" w14:textId="2C3AD8AD" w:rsidR="00B003D4" w:rsidRDefault="00B003D4" w:rsidP="007054F5">
      <w:pPr>
        <w:widowControl w:val="0"/>
        <w:spacing w:before="120" w:line="276" w:lineRule="auto"/>
        <w:ind w:firstLine="720"/>
        <w:jc w:val="both"/>
        <w:rPr>
          <w:iCs/>
          <w:color w:val="000000" w:themeColor="text1"/>
          <w:highlight w:val="white"/>
          <w:lang w:val="vi-VN"/>
        </w:rPr>
      </w:pPr>
      <w:r w:rsidRPr="00C411F0">
        <w:rPr>
          <w:iCs/>
          <w:color w:val="000000" w:themeColor="text1"/>
          <w:highlight w:val="white"/>
          <w:lang w:val="vi-VN"/>
        </w:rPr>
        <w:t>Một vấn đề khác cũng cần lưu tâm là hiện nay một số chủ dự án, chủ thể phát hành TPX đã và đang tham gia các thị trường tài chính xanh có yếu tố quốc tế (được cấp tín dụng xanh hoặc phát hành trái phiếu xanh theo tiêu chuẩn, tiêu chí của các nhà đầu tư, tổ chức quốc tế). Khi này, nếu các yêu cầu, trình tự, quy trình xác nhận dự án xanh được xây dựng hài hoà với thông lệ quốc tế, thì các chủ dự án, chủ thể phát hành TPX là doanh nghiệp sẽ sẵn sàng tham gia cả 2 thị trường (trong nước và quốc tế) để tăng tối đa lợi ích của mình.</w:t>
      </w:r>
    </w:p>
    <w:p w14:paraId="53B22DBD" w14:textId="6A71830F" w:rsidR="00B72D9B" w:rsidRPr="00C411F0" w:rsidRDefault="00041778" w:rsidP="007054F5">
      <w:pPr>
        <w:widowControl w:val="0"/>
        <w:spacing w:before="120" w:line="276" w:lineRule="auto"/>
        <w:ind w:firstLine="720"/>
        <w:jc w:val="both"/>
        <w:rPr>
          <w:iCs/>
          <w:color w:val="000000" w:themeColor="text1"/>
          <w:highlight w:val="white"/>
          <w:lang w:val="vi-VN"/>
        </w:rPr>
      </w:pPr>
      <w:r>
        <w:rPr>
          <w:iCs/>
          <w:color w:val="000000" w:themeColor="text1"/>
          <w:highlight w:val="white"/>
          <w:lang w:val="vi-VN"/>
        </w:rPr>
        <w:t xml:space="preserve">Đối với </w:t>
      </w:r>
      <w:r w:rsidR="003C2EC6">
        <w:rPr>
          <w:iCs/>
          <w:color w:val="000000" w:themeColor="text1"/>
          <w:highlight w:val="white"/>
          <w:lang w:val="vi-VN"/>
        </w:rPr>
        <w:t xml:space="preserve">các </w:t>
      </w:r>
      <w:r>
        <w:rPr>
          <w:iCs/>
          <w:color w:val="000000" w:themeColor="text1"/>
          <w:highlight w:val="white"/>
          <w:lang w:val="vi-VN"/>
        </w:rPr>
        <w:t>loại hình dự án chuyển đổi xanh</w:t>
      </w:r>
      <w:r w:rsidR="003C2EC6">
        <w:rPr>
          <w:iCs/>
          <w:color w:val="000000" w:themeColor="text1"/>
          <w:highlight w:val="white"/>
          <w:lang w:val="vi-VN"/>
        </w:rPr>
        <w:t xml:space="preserve"> (từ số 76 đến số 80)</w:t>
      </w:r>
      <w:r>
        <w:rPr>
          <w:iCs/>
          <w:color w:val="000000" w:themeColor="text1"/>
          <w:highlight w:val="white"/>
          <w:lang w:val="vi-VN"/>
        </w:rPr>
        <w:t xml:space="preserve">, theo quy định chủ dự án cần phải thực hiện hoạt động xác nhận để nhận được văn bản xác nhận trước khi được hưởng ưu đãi, hỗ trợ của Nhà nước. </w:t>
      </w:r>
      <w:r w:rsidR="00013207">
        <w:rPr>
          <w:iCs/>
          <w:color w:val="000000" w:themeColor="text1"/>
          <w:highlight w:val="white"/>
          <w:lang w:val="vi-VN"/>
        </w:rPr>
        <w:t>Mặc dù việc thực hiện thủ tục xác nhận xanh sẽ làm mất thêm chi phí, t</w:t>
      </w:r>
      <w:r>
        <w:rPr>
          <w:iCs/>
          <w:color w:val="000000" w:themeColor="text1"/>
          <w:highlight w:val="white"/>
          <w:lang w:val="vi-VN"/>
        </w:rPr>
        <w:t xml:space="preserve">uy nhiên, việc quy định rõ ràng các tiêu chí môi trường, bao gồm các yêu cầu cụ thể để bảo đảm không gây hại </w:t>
      </w:r>
      <w:r>
        <w:rPr>
          <w:iCs/>
          <w:color w:val="000000" w:themeColor="text1"/>
          <w:highlight w:val="white"/>
          <w:lang w:val="vi-VN"/>
        </w:rPr>
        <w:lastRenderedPageBreak/>
        <w:t xml:space="preserve">đáng kể đến các mục tiêu môi trường khác </w:t>
      </w:r>
      <w:r w:rsidR="00A96BAA">
        <w:rPr>
          <w:iCs/>
          <w:color w:val="000000" w:themeColor="text1"/>
          <w:highlight w:val="white"/>
          <w:lang w:val="vi-VN"/>
        </w:rPr>
        <w:t xml:space="preserve">cho phép các chủ dự án được </w:t>
      </w:r>
      <w:r w:rsidR="00013207">
        <w:rPr>
          <w:iCs/>
          <w:color w:val="000000" w:themeColor="text1"/>
          <w:highlight w:val="white"/>
          <w:lang w:val="vi-VN"/>
        </w:rPr>
        <w:t xml:space="preserve">chủ động thông tin, tài liệu, lên kế hoạch rõ ràng hơn nhờ thông tin minh bạch, rõ ràng. </w:t>
      </w:r>
      <w:r w:rsidR="00A96BAA">
        <w:rPr>
          <w:iCs/>
          <w:color w:val="000000" w:themeColor="text1"/>
          <w:highlight w:val="white"/>
          <w:lang w:val="vi-VN"/>
        </w:rPr>
        <w:t xml:space="preserve">Từ đó </w:t>
      </w:r>
      <w:r w:rsidR="00B72D9B">
        <w:rPr>
          <w:iCs/>
          <w:color w:val="000000" w:themeColor="text1"/>
          <w:highlight w:val="white"/>
          <w:lang w:val="vi-VN"/>
        </w:rPr>
        <w:t xml:space="preserve">cũng </w:t>
      </w:r>
      <w:r w:rsidR="00A96BAA">
        <w:rPr>
          <w:iCs/>
          <w:color w:val="000000" w:themeColor="text1"/>
          <w:highlight w:val="white"/>
          <w:lang w:val="vi-VN"/>
        </w:rPr>
        <w:t xml:space="preserve">sẽ tiết kiệm được rất nhiều kinh phí, </w:t>
      </w:r>
      <w:r w:rsidR="00013207">
        <w:rPr>
          <w:iCs/>
          <w:color w:val="000000" w:themeColor="text1"/>
          <w:highlight w:val="white"/>
          <w:lang w:val="vi-VN"/>
        </w:rPr>
        <w:t>ngu</w:t>
      </w:r>
      <w:r w:rsidR="00A96BAA">
        <w:rPr>
          <w:iCs/>
          <w:color w:val="000000" w:themeColor="text1"/>
          <w:highlight w:val="white"/>
          <w:lang w:val="vi-VN"/>
        </w:rPr>
        <w:t>ồn lực</w:t>
      </w:r>
      <w:r w:rsidR="00013207">
        <w:rPr>
          <w:iCs/>
          <w:color w:val="000000" w:themeColor="text1"/>
          <w:highlight w:val="white"/>
          <w:lang w:val="vi-VN"/>
        </w:rPr>
        <w:t>, thời gian</w:t>
      </w:r>
      <w:r w:rsidR="00A96BAA">
        <w:rPr>
          <w:iCs/>
          <w:color w:val="000000" w:themeColor="text1"/>
          <w:highlight w:val="white"/>
          <w:lang w:val="vi-VN"/>
        </w:rPr>
        <w:t xml:space="preserve"> cho các chủ dự án trong quá trình thực hiện xác nhận</w:t>
      </w:r>
      <w:r w:rsidR="00013207">
        <w:rPr>
          <w:iCs/>
          <w:color w:val="000000" w:themeColor="text1"/>
          <w:highlight w:val="white"/>
          <w:lang w:val="vi-VN"/>
        </w:rPr>
        <w:t xml:space="preserve">. </w:t>
      </w:r>
    </w:p>
    <w:p w14:paraId="5CF437B6" w14:textId="3A1B9A7C" w:rsidR="00A96BAA" w:rsidRPr="00013207" w:rsidRDefault="00B003D4" w:rsidP="007054F5">
      <w:pPr>
        <w:widowControl w:val="0"/>
        <w:spacing w:before="120" w:line="276" w:lineRule="auto"/>
        <w:ind w:firstLine="720"/>
        <w:jc w:val="both"/>
        <w:rPr>
          <w:color w:val="000000" w:themeColor="text1"/>
          <w:shd w:val="clear" w:color="auto" w:fill="FFFFFF"/>
        </w:rPr>
      </w:pPr>
      <w:r w:rsidRPr="00C411F0">
        <w:rPr>
          <w:iCs/>
          <w:color w:val="000000" w:themeColor="text1"/>
          <w:highlight w:val="white"/>
          <w:lang w:val="vi-VN"/>
        </w:rPr>
        <w:t xml:space="preserve">+ </w:t>
      </w:r>
      <w:r w:rsidRPr="00C411F0">
        <w:rPr>
          <w:i/>
          <w:color w:val="000000" w:themeColor="text1"/>
          <w:highlight w:val="white"/>
          <w:lang w:val="vi-VN"/>
        </w:rPr>
        <w:t xml:space="preserve">Đối với tổ chức </w:t>
      </w:r>
      <w:r w:rsidR="00013207">
        <w:rPr>
          <w:i/>
          <w:color w:val="000000" w:themeColor="text1"/>
          <w:highlight w:val="white"/>
          <w:lang w:val="vi-VN"/>
        </w:rPr>
        <w:t xml:space="preserve">kiểm toán, tổ chức </w:t>
      </w:r>
      <w:r w:rsidRPr="00C411F0">
        <w:rPr>
          <w:i/>
          <w:color w:val="000000" w:themeColor="text1"/>
          <w:highlight w:val="white"/>
          <w:lang w:val="vi-VN"/>
        </w:rPr>
        <w:t>đáp ứng được yêu cầu</w:t>
      </w:r>
      <w:r w:rsidR="00FF2109">
        <w:rPr>
          <w:i/>
          <w:color w:val="000000" w:themeColor="text1"/>
          <w:highlight w:val="white"/>
          <w:lang w:val="vi-VN"/>
        </w:rPr>
        <w:t xml:space="preserve"> </w:t>
      </w:r>
      <w:r w:rsidRPr="00C411F0">
        <w:rPr>
          <w:i/>
          <w:color w:val="000000" w:themeColor="text1"/>
          <w:highlight w:val="white"/>
          <w:lang w:val="vi-VN"/>
        </w:rPr>
        <w:t>là tổ chức thẩm định độc lập dự án xanh</w:t>
      </w:r>
      <w:r w:rsidRPr="00C411F0">
        <w:rPr>
          <w:iCs/>
          <w:color w:val="000000" w:themeColor="text1"/>
          <w:highlight w:val="white"/>
          <w:lang w:val="vi-VN"/>
        </w:rPr>
        <w:t xml:space="preserve">:  </w:t>
      </w:r>
      <w:r w:rsidR="00A96BAA">
        <w:rPr>
          <w:iCs/>
          <w:color w:val="000000" w:themeColor="text1"/>
          <w:highlight w:val="white"/>
          <w:lang w:val="vi-VN"/>
        </w:rPr>
        <w:t xml:space="preserve">Theo phương án này, sẽ có rất nhiều cơ hội cho các tổ chức đủ năng lực tham </w:t>
      </w:r>
      <w:r w:rsidR="00A96BAA" w:rsidRPr="006E606E">
        <w:rPr>
          <w:iCs/>
          <w:color w:val="000000" w:themeColor="text1"/>
          <w:highlight w:val="white"/>
          <w:lang w:val="vi-VN"/>
        </w:rPr>
        <w:t xml:space="preserve">gia vào hoạt động xác nhận dự án xanh, bao gồm: </w:t>
      </w:r>
      <w:r w:rsidR="00013207" w:rsidRPr="00A41810">
        <w:rPr>
          <w:color w:val="000000" w:themeColor="text1"/>
        </w:rPr>
        <w:t>Tổ chức kiểm toán hoạt động hợp pháp tại Việt Nam theo quy định của pháp luật về kiểm toán độc lập và pháp luật khác có liên quan;</w:t>
      </w:r>
      <w:r w:rsidR="00013207" w:rsidRPr="00A41810">
        <w:rPr>
          <w:color w:val="000000" w:themeColor="text1"/>
          <w:lang w:val="vi-VN"/>
        </w:rPr>
        <w:t xml:space="preserve"> </w:t>
      </w:r>
      <w:r w:rsidR="00013207" w:rsidRPr="00A41810">
        <w:rPr>
          <w:color w:val="000000" w:themeColor="text1"/>
        </w:rPr>
        <w:t>Tổ chức khác (nếu có) cung cấp các dịch vụ phù hợp với yêu cầu về xác nhận dự án đầu tư thuộc danh mục phân loại xanh và theo quy định của pháp luật.</w:t>
      </w:r>
    </w:p>
    <w:p w14:paraId="4383CAD0" w14:textId="6BA7EC7C" w:rsidR="00B003D4" w:rsidRPr="00A41810" w:rsidRDefault="00505CFE" w:rsidP="007054F5">
      <w:pPr>
        <w:widowControl w:val="0"/>
        <w:spacing w:before="120" w:line="276" w:lineRule="auto"/>
        <w:ind w:firstLine="720"/>
        <w:jc w:val="both"/>
        <w:rPr>
          <w:color w:val="000000" w:themeColor="text1"/>
          <w:shd w:val="clear" w:color="auto" w:fill="FFFFFF"/>
          <w:lang w:val="vi-VN"/>
        </w:rPr>
      </w:pPr>
      <w:r>
        <w:rPr>
          <w:color w:val="000000" w:themeColor="text1"/>
          <w:shd w:val="clear" w:color="auto" w:fill="FFFFFF"/>
        </w:rPr>
        <w:t>Với</w:t>
      </w:r>
      <w:r>
        <w:rPr>
          <w:color w:val="000000" w:themeColor="text1"/>
          <w:shd w:val="clear" w:color="auto" w:fill="FFFFFF"/>
          <w:lang w:val="vi-VN"/>
        </w:rPr>
        <w:t xml:space="preserve"> xu thế phát triển của thị trường tài chính xanh và đáp ứng nhu cầu của các bên liên quan, </w:t>
      </w:r>
      <w:r>
        <w:rPr>
          <w:color w:val="000000" w:themeColor="text1"/>
          <w:shd w:val="clear" w:color="auto" w:fill="FFFFFF"/>
        </w:rPr>
        <w:t>t</w:t>
      </w:r>
      <w:r w:rsidR="00D23589">
        <w:rPr>
          <w:color w:val="000000" w:themeColor="text1"/>
          <w:shd w:val="clear" w:color="auto" w:fill="FFFFFF"/>
        </w:rPr>
        <w:t>rên</w:t>
      </w:r>
      <w:r w:rsidR="00D23589">
        <w:rPr>
          <w:color w:val="000000" w:themeColor="text1"/>
          <w:shd w:val="clear" w:color="auto" w:fill="FFFFFF"/>
          <w:lang w:val="vi-VN"/>
        </w:rPr>
        <w:t xml:space="preserve"> thực tế hiện </w:t>
      </w:r>
      <w:r>
        <w:rPr>
          <w:color w:val="000000" w:themeColor="text1"/>
          <w:shd w:val="clear" w:color="auto" w:fill="FFFFFF"/>
          <w:lang w:val="vi-VN"/>
        </w:rPr>
        <w:t xml:space="preserve">nay </w:t>
      </w:r>
      <w:r w:rsidR="00D23589">
        <w:rPr>
          <w:color w:val="000000" w:themeColor="text1"/>
          <w:shd w:val="clear" w:color="auto" w:fill="FFFFFF"/>
          <w:lang w:val="vi-VN"/>
        </w:rPr>
        <w:t xml:space="preserve">nhiều tổ chức nêu trên đã phần nào tham gia vào việc </w:t>
      </w:r>
      <w:r>
        <w:rPr>
          <w:color w:val="000000" w:themeColor="text1"/>
          <w:shd w:val="clear" w:color="auto" w:fill="FFFFFF"/>
          <w:lang w:val="vi-VN"/>
        </w:rPr>
        <w:t xml:space="preserve">thẩm định, </w:t>
      </w:r>
      <w:r w:rsidR="00D23589">
        <w:rPr>
          <w:color w:val="000000" w:themeColor="text1"/>
          <w:shd w:val="clear" w:color="auto" w:fill="FFFFFF"/>
          <w:lang w:val="vi-VN"/>
        </w:rPr>
        <w:t xml:space="preserve">xác nhận dự án xanh để hỗ trợ các tổ chức cá nhân trong quá trình nộp hồ sơ xin cấp tín dụng xanh hoặc trong phát hành trái phiếu xanh. Tuy nhiên về cơ bản việc xem xét, xác nhận chủ yếu thực hiện theo quy định của các tổ chức quốc tế hoặc một số văn bản hướng dẫn có liên quan (ví dụ văn bản hướng dẫn của Ngân hàng nhà nước như đã nêu tại mục 1.1 của Báo cáo) mà chưa được sự thừa nhận chính thức của pháp luật Việt Nam. </w:t>
      </w:r>
      <w:r>
        <w:rPr>
          <w:color w:val="000000" w:themeColor="text1"/>
          <w:shd w:val="clear" w:color="auto" w:fill="FFFFFF"/>
          <w:lang w:val="vi-VN"/>
        </w:rPr>
        <w:t xml:space="preserve">Với phương án này, sẽ tạo hành lang pháp lý quan trọng cho các tổ chức nêu trên thực hiện các hoạt động xác nhận dự án xanh, nâng cao cơ hội, độ tin cậy của các tổ chức này trong quá trình thực hiện, do đó sẽ </w:t>
      </w:r>
      <w:r w:rsidR="00B003D4" w:rsidRPr="00C411F0">
        <w:rPr>
          <w:iCs/>
          <w:color w:val="000000" w:themeColor="text1"/>
          <w:highlight w:val="white"/>
          <w:lang w:val="vi-VN"/>
        </w:rPr>
        <w:t>được mở rộng thị trường, lĩnh vực hoạt động và tăng nguồn doanh thu</w:t>
      </w:r>
      <w:r w:rsidR="00013207">
        <w:rPr>
          <w:iCs/>
          <w:color w:val="000000" w:themeColor="text1"/>
          <w:lang w:val="vi-VN"/>
        </w:rPr>
        <w:t xml:space="preserve"> </w:t>
      </w:r>
      <w:r w:rsidR="00013207">
        <w:rPr>
          <w:iCs/>
          <w:color w:val="000000" w:themeColor="text1"/>
          <w:highlight w:val="white"/>
          <w:lang w:val="vi-VN"/>
        </w:rPr>
        <w:t>cho</w:t>
      </w:r>
      <w:r w:rsidR="00013207">
        <w:rPr>
          <w:iCs/>
          <w:color w:val="000000" w:themeColor="text1"/>
          <w:lang w:val="vi-VN"/>
        </w:rPr>
        <w:t xml:space="preserve"> </w:t>
      </w:r>
      <w:r w:rsidR="00013207">
        <w:rPr>
          <w:iCs/>
          <w:color w:val="000000" w:themeColor="text1"/>
          <w:highlight w:val="white"/>
          <w:lang w:val="vi-VN"/>
        </w:rPr>
        <w:t>các</w:t>
      </w:r>
      <w:r w:rsidR="00013207">
        <w:rPr>
          <w:iCs/>
          <w:color w:val="000000" w:themeColor="text1"/>
          <w:lang w:val="vi-VN"/>
        </w:rPr>
        <w:t xml:space="preserve"> </w:t>
      </w:r>
      <w:r w:rsidR="00013207">
        <w:rPr>
          <w:iCs/>
          <w:color w:val="000000" w:themeColor="text1"/>
          <w:highlight w:val="white"/>
          <w:lang w:val="vi-VN"/>
        </w:rPr>
        <w:t>tổ</w:t>
      </w:r>
      <w:r w:rsidR="00013207">
        <w:rPr>
          <w:iCs/>
          <w:color w:val="000000" w:themeColor="text1"/>
          <w:lang w:val="vi-VN"/>
        </w:rPr>
        <w:t xml:space="preserve"> </w:t>
      </w:r>
      <w:r w:rsidR="00013207">
        <w:rPr>
          <w:iCs/>
          <w:color w:val="000000" w:themeColor="text1"/>
          <w:highlight w:val="white"/>
          <w:lang w:val="vi-VN"/>
        </w:rPr>
        <w:t>chức</w:t>
      </w:r>
      <w:r w:rsidR="00013207">
        <w:rPr>
          <w:iCs/>
          <w:color w:val="000000" w:themeColor="text1"/>
          <w:lang w:val="vi-VN"/>
        </w:rPr>
        <w:t xml:space="preserve"> </w:t>
      </w:r>
      <w:r w:rsidR="00013207">
        <w:rPr>
          <w:iCs/>
          <w:color w:val="000000" w:themeColor="text1"/>
          <w:highlight w:val="white"/>
          <w:lang w:val="vi-VN"/>
        </w:rPr>
        <w:t>này</w:t>
      </w:r>
      <w:r w:rsidR="00013207">
        <w:rPr>
          <w:iCs/>
          <w:color w:val="000000" w:themeColor="text1"/>
          <w:lang w:val="vi-VN"/>
        </w:rPr>
        <w:t>.</w:t>
      </w:r>
    </w:p>
    <w:p w14:paraId="320869F3" w14:textId="77777777" w:rsidR="00B003D4" w:rsidRPr="00C411F0" w:rsidRDefault="00B003D4" w:rsidP="007054F5">
      <w:pPr>
        <w:widowControl w:val="0"/>
        <w:spacing w:before="120" w:line="276" w:lineRule="auto"/>
        <w:ind w:firstLine="720"/>
        <w:jc w:val="both"/>
        <w:rPr>
          <w:iCs/>
          <w:color w:val="000000" w:themeColor="text1"/>
          <w:highlight w:val="white"/>
          <w:lang w:val="vi-VN"/>
        </w:rPr>
      </w:pPr>
      <w:r w:rsidRPr="00C411F0">
        <w:rPr>
          <w:i/>
          <w:color w:val="000000" w:themeColor="text1"/>
          <w:highlight w:val="white"/>
          <w:lang w:val="vi-VN"/>
        </w:rPr>
        <w:t>+ Đối với các TCTD:</w:t>
      </w:r>
      <w:r w:rsidRPr="00C411F0">
        <w:rPr>
          <w:iCs/>
          <w:color w:val="000000" w:themeColor="text1"/>
          <w:highlight w:val="white"/>
          <w:lang w:val="vi-VN"/>
        </w:rPr>
        <w:t xml:space="preserve"> </w:t>
      </w:r>
    </w:p>
    <w:p w14:paraId="07D567B2" w14:textId="4C4657AB" w:rsidR="00B003D4" w:rsidRPr="00C411F0" w:rsidRDefault="00B003D4" w:rsidP="00B003D4">
      <w:pPr>
        <w:widowControl w:val="0"/>
        <w:spacing w:before="120" w:line="340" w:lineRule="exact"/>
        <w:ind w:firstLine="720"/>
        <w:jc w:val="both"/>
        <w:rPr>
          <w:iCs/>
          <w:color w:val="000000" w:themeColor="text1"/>
          <w:highlight w:val="white"/>
          <w:lang w:val="vi-VN"/>
        </w:rPr>
      </w:pPr>
      <w:r w:rsidRPr="00C411F0">
        <w:rPr>
          <w:iCs/>
          <w:color w:val="000000" w:themeColor="text1"/>
          <w:highlight w:val="white"/>
          <w:lang w:val="vi-VN"/>
        </w:rPr>
        <w:t>Trường hợp đã có</w:t>
      </w:r>
      <w:r w:rsidR="00505CFE">
        <w:rPr>
          <w:iCs/>
          <w:color w:val="000000" w:themeColor="text1"/>
          <w:highlight w:val="white"/>
          <w:lang w:val="vi-VN"/>
        </w:rPr>
        <w:t xml:space="preserve"> quy định rõ ràng về</w:t>
      </w:r>
      <w:r w:rsidRPr="00C411F0">
        <w:rPr>
          <w:iCs/>
          <w:color w:val="000000" w:themeColor="text1"/>
          <w:highlight w:val="white"/>
          <w:lang w:val="vi-VN"/>
        </w:rPr>
        <w:t xml:space="preserve"> dự án xanh </w:t>
      </w:r>
      <w:r w:rsidR="00505CFE">
        <w:rPr>
          <w:iCs/>
          <w:color w:val="000000" w:themeColor="text1"/>
          <w:highlight w:val="white"/>
          <w:lang w:val="vi-VN"/>
        </w:rPr>
        <w:t xml:space="preserve">và </w:t>
      </w:r>
      <w:r w:rsidR="00FF2109" w:rsidRPr="00C411F0">
        <w:rPr>
          <w:iCs/>
          <w:color w:val="000000" w:themeColor="text1"/>
          <w:highlight w:val="white"/>
          <w:lang w:val="vi-VN"/>
        </w:rPr>
        <w:t xml:space="preserve">xác nhận </w:t>
      </w:r>
      <w:r w:rsidR="00505CFE">
        <w:rPr>
          <w:iCs/>
          <w:color w:val="000000" w:themeColor="text1"/>
          <w:highlight w:val="white"/>
          <w:lang w:val="vi-VN"/>
        </w:rPr>
        <w:t>dự án chuyển đổi xanh</w:t>
      </w:r>
      <w:r w:rsidRPr="00C411F0">
        <w:rPr>
          <w:iCs/>
          <w:color w:val="000000" w:themeColor="text1"/>
          <w:highlight w:val="white"/>
          <w:lang w:val="vi-VN"/>
        </w:rPr>
        <w:t xml:space="preserve">, các TCTD sẽ tiết kiệm được thời gian, công sức, chi phí vì không phải </w:t>
      </w:r>
      <w:r w:rsidR="00505CFE">
        <w:rPr>
          <w:iCs/>
          <w:color w:val="000000" w:themeColor="text1"/>
          <w:highlight w:val="white"/>
          <w:lang w:val="vi-VN"/>
        </w:rPr>
        <w:t xml:space="preserve">tự mình tiến hành </w:t>
      </w:r>
      <w:r w:rsidRPr="00C411F0">
        <w:rPr>
          <w:iCs/>
          <w:color w:val="000000" w:themeColor="text1"/>
          <w:highlight w:val="white"/>
          <w:lang w:val="vi-VN"/>
        </w:rPr>
        <w:t xml:space="preserve">thẩm định, xác định tính xanh của các dự án </w:t>
      </w:r>
      <w:r w:rsidR="00505CFE">
        <w:rPr>
          <w:iCs/>
          <w:color w:val="000000" w:themeColor="text1"/>
          <w:highlight w:val="white"/>
          <w:lang w:val="vi-VN"/>
        </w:rPr>
        <w:t xml:space="preserve">trước khi cấp tín dụng xanh </w:t>
      </w:r>
      <w:r w:rsidRPr="00C411F0">
        <w:rPr>
          <w:iCs/>
          <w:color w:val="000000" w:themeColor="text1"/>
          <w:highlight w:val="white"/>
          <w:lang w:val="vi-VN"/>
        </w:rPr>
        <w:t xml:space="preserve">như quy trình </w:t>
      </w:r>
      <w:r w:rsidR="00505CFE">
        <w:rPr>
          <w:iCs/>
          <w:color w:val="000000" w:themeColor="text1"/>
          <w:highlight w:val="white"/>
          <w:lang w:val="vi-VN"/>
        </w:rPr>
        <w:t xml:space="preserve">hiện đang thực hiện, sẽ tiết kiệm được nguồn lực, thời gian và kinh phí của tổ chức. </w:t>
      </w:r>
    </w:p>
    <w:p w14:paraId="20F7D808" w14:textId="77777777" w:rsidR="00B003D4" w:rsidRPr="00C411F0" w:rsidRDefault="00B003D4" w:rsidP="00B003D4">
      <w:pPr>
        <w:widowControl w:val="0"/>
        <w:spacing w:before="120" w:line="340" w:lineRule="exact"/>
        <w:ind w:firstLine="720"/>
        <w:jc w:val="both"/>
        <w:rPr>
          <w:iCs/>
          <w:color w:val="000000" w:themeColor="text1"/>
          <w:spacing w:val="-2"/>
          <w:highlight w:val="white"/>
          <w:lang w:val="vi-VN"/>
        </w:rPr>
      </w:pPr>
      <w:r w:rsidRPr="00C411F0">
        <w:rPr>
          <w:iCs/>
          <w:color w:val="000000" w:themeColor="text1"/>
          <w:spacing w:val="-2"/>
          <w:highlight w:val="white"/>
          <w:lang w:val="vi-VN"/>
        </w:rPr>
        <w:t>Ngoài ra, trong trường hợp các TCTD đã thành lập bộ phận chuyên trách quản lý rủi ro môi trường và xã hội, có đủ năng lực, đáp ứng được các yêu cầu, tiêu chí là Tổ chức thẩm định độc lập dự án xanh thì có thể đăng ký với cơ quan quản lý nhà nước có thẩm quyền để thực hiện chức năng này. Khi này, TCTD vừa có chức năng xác nhận dự án xanh, vừa xem xét cấp tín dụng xanh; sẽ nâng cao uy tín và giảm thiểu tối đa những rủi ro, bất lợi về mặt kinh tế khi cấp tín dụng xanh.</w:t>
      </w:r>
    </w:p>
    <w:p w14:paraId="5F275F81" w14:textId="77777777" w:rsidR="00B003D4" w:rsidRPr="00C411F0" w:rsidRDefault="00B003D4" w:rsidP="00B003D4">
      <w:pPr>
        <w:widowControl w:val="0"/>
        <w:spacing w:before="120" w:line="340" w:lineRule="exact"/>
        <w:ind w:firstLine="720"/>
        <w:jc w:val="both"/>
        <w:rPr>
          <w:i/>
          <w:color w:val="000000" w:themeColor="text1"/>
          <w:highlight w:val="white"/>
          <w:lang w:val="vi-VN"/>
        </w:rPr>
      </w:pPr>
      <w:r w:rsidRPr="00C411F0">
        <w:rPr>
          <w:i/>
          <w:color w:val="000000" w:themeColor="text1"/>
          <w:highlight w:val="white"/>
          <w:lang w:val="vi-VN"/>
        </w:rPr>
        <w:t>- Tác động tiêu cực:</w:t>
      </w:r>
    </w:p>
    <w:p w14:paraId="0487C556" w14:textId="5705189F" w:rsidR="00B003D4" w:rsidRDefault="00B003D4" w:rsidP="00B003D4">
      <w:pPr>
        <w:widowControl w:val="0"/>
        <w:spacing w:before="120" w:line="340" w:lineRule="exact"/>
        <w:ind w:firstLine="720"/>
        <w:jc w:val="both"/>
        <w:rPr>
          <w:iCs/>
          <w:color w:val="000000" w:themeColor="text1"/>
          <w:lang w:val="vi-VN"/>
        </w:rPr>
      </w:pPr>
      <w:r w:rsidRPr="00C411F0">
        <w:rPr>
          <w:i/>
          <w:color w:val="000000" w:themeColor="text1"/>
          <w:highlight w:val="white"/>
          <w:lang w:val="vi-VN"/>
        </w:rPr>
        <w:t xml:space="preserve">+ Đối với </w:t>
      </w:r>
      <w:r w:rsidR="00AC4174">
        <w:rPr>
          <w:i/>
          <w:color w:val="000000" w:themeColor="text1"/>
          <w:highlight w:val="white"/>
          <w:lang w:val="vi-VN"/>
        </w:rPr>
        <w:t xml:space="preserve">chủ đầu tư </w:t>
      </w:r>
      <w:r w:rsidRPr="00C411F0">
        <w:rPr>
          <w:i/>
          <w:color w:val="000000" w:themeColor="text1"/>
          <w:highlight w:val="white"/>
          <w:lang w:val="vi-VN"/>
        </w:rPr>
        <w:t>có nhu cầu xác nhận dự án xanh</w:t>
      </w:r>
      <w:r w:rsidR="00AC4174">
        <w:rPr>
          <w:i/>
          <w:color w:val="000000" w:themeColor="text1"/>
          <w:highlight w:val="white"/>
          <w:lang w:val="vi-VN"/>
        </w:rPr>
        <w:t xml:space="preserve"> (tổ chức, cá nhân có nhu cầu được cấp tín dụng xanh hoặc doanh nghiệp phát hành TPX muốn được </w:t>
      </w:r>
      <w:r w:rsidR="00AC4174">
        <w:rPr>
          <w:i/>
          <w:color w:val="000000" w:themeColor="text1"/>
          <w:highlight w:val="white"/>
          <w:lang w:val="vi-VN"/>
        </w:rPr>
        <w:lastRenderedPageBreak/>
        <w:t>hưởng ưu đãi, chính sách hỗ trợ của Nhà nước)</w:t>
      </w:r>
      <w:r w:rsidRPr="00C411F0">
        <w:rPr>
          <w:i/>
          <w:color w:val="000000" w:themeColor="text1"/>
          <w:lang w:val="vi-VN"/>
        </w:rPr>
        <w:t>:</w:t>
      </w:r>
      <w:r w:rsidRPr="00C411F0">
        <w:rPr>
          <w:iCs/>
          <w:color w:val="000000" w:themeColor="text1"/>
          <w:lang w:val="vi-VN"/>
        </w:rPr>
        <w:t xml:space="preserve"> Với Phương án </w:t>
      </w:r>
      <w:r w:rsidR="00AC4174">
        <w:rPr>
          <w:iCs/>
          <w:color w:val="000000" w:themeColor="text1"/>
          <w:lang w:val="vi-VN"/>
        </w:rPr>
        <w:t>này</w:t>
      </w:r>
      <w:r w:rsidRPr="00C411F0">
        <w:rPr>
          <w:iCs/>
          <w:color w:val="000000" w:themeColor="text1"/>
          <w:lang w:val="vi-VN"/>
        </w:rPr>
        <w:t xml:space="preserve">, </w:t>
      </w:r>
      <w:r w:rsidR="00AC4174">
        <w:rPr>
          <w:iCs/>
          <w:color w:val="000000" w:themeColor="text1"/>
          <w:lang w:val="vi-VN"/>
        </w:rPr>
        <w:t xml:space="preserve">chủ đầu tư dự án chuyển đổi xanh (xác nhận dự án xanh bắt buộc) hoặc </w:t>
      </w:r>
      <w:r w:rsidR="000B224F">
        <w:rPr>
          <w:iCs/>
          <w:color w:val="000000" w:themeColor="text1"/>
          <w:lang w:val="vi-VN"/>
        </w:rPr>
        <w:t xml:space="preserve">chủ đầu tư </w:t>
      </w:r>
      <w:r w:rsidR="00AC4174">
        <w:rPr>
          <w:iCs/>
          <w:color w:val="000000" w:themeColor="text1"/>
          <w:lang w:val="vi-VN"/>
        </w:rPr>
        <w:t>có nhu cầu xác nhận dự án xanh</w:t>
      </w:r>
      <w:r w:rsidR="000B224F">
        <w:rPr>
          <w:iCs/>
          <w:color w:val="000000" w:themeColor="text1"/>
          <w:lang w:val="vi-VN"/>
        </w:rPr>
        <w:t xml:space="preserve"> theo hình thức tự nguyện</w:t>
      </w:r>
      <w:r w:rsidR="00AC4174">
        <w:rPr>
          <w:iCs/>
          <w:color w:val="000000" w:themeColor="text1"/>
          <w:lang w:val="vi-VN"/>
        </w:rPr>
        <w:t xml:space="preserve"> </w:t>
      </w:r>
      <w:r w:rsidRPr="00C411F0">
        <w:rPr>
          <w:iCs/>
          <w:color w:val="000000" w:themeColor="text1"/>
          <w:lang w:val="vi-VN"/>
        </w:rPr>
        <w:t xml:space="preserve">phải bỏ thời gian, công sức và kinh phí để </w:t>
      </w:r>
      <w:r w:rsidR="00505CFE">
        <w:rPr>
          <w:iCs/>
          <w:color w:val="000000" w:themeColor="text1"/>
          <w:lang w:val="vi-VN"/>
        </w:rPr>
        <w:t>nghiên cứu các quy định</w:t>
      </w:r>
      <w:r w:rsidR="00FF2109">
        <w:rPr>
          <w:iCs/>
          <w:color w:val="000000" w:themeColor="text1"/>
          <w:lang w:val="vi-VN"/>
        </w:rPr>
        <w:t>,</w:t>
      </w:r>
      <w:r w:rsidR="00505CFE">
        <w:rPr>
          <w:iCs/>
          <w:color w:val="000000" w:themeColor="text1"/>
          <w:lang w:val="vi-VN"/>
        </w:rPr>
        <w:t xml:space="preserve"> yêu cầu</w:t>
      </w:r>
      <w:r w:rsidR="004D714F">
        <w:rPr>
          <w:iCs/>
          <w:color w:val="000000" w:themeColor="text1"/>
          <w:lang w:val="vi-VN"/>
        </w:rPr>
        <w:t>, chuẩn bị các thông tin, số liệu</w:t>
      </w:r>
      <w:r w:rsidR="00505CFE">
        <w:rPr>
          <w:iCs/>
          <w:color w:val="000000" w:themeColor="text1"/>
          <w:lang w:val="vi-VN"/>
        </w:rPr>
        <w:t xml:space="preserve"> để </w:t>
      </w:r>
      <w:r w:rsidRPr="00C411F0">
        <w:rPr>
          <w:iCs/>
          <w:color w:val="000000" w:themeColor="text1"/>
          <w:lang w:val="vi-VN"/>
        </w:rPr>
        <w:t xml:space="preserve">lập hồ sơ và thực hiện việc xác nhận dự án xanh theo </w:t>
      </w:r>
      <w:r w:rsidR="00FF2109">
        <w:rPr>
          <w:iCs/>
          <w:color w:val="000000" w:themeColor="text1"/>
          <w:lang w:val="vi-VN"/>
        </w:rPr>
        <w:t xml:space="preserve">quy định của Dự thảo Quyết định </w:t>
      </w:r>
      <w:r w:rsidR="004D714F">
        <w:rPr>
          <w:iCs/>
          <w:color w:val="000000" w:themeColor="text1"/>
          <w:lang w:val="vi-VN"/>
        </w:rPr>
        <w:t xml:space="preserve">(đối với trường hợp xác nhận bắt buộc) hoặc </w:t>
      </w:r>
      <w:r w:rsidR="00FF2109">
        <w:rPr>
          <w:iCs/>
          <w:color w:val="000000" w:themeColor="text1"/>
          <w:lang w:val="vi-VN"/>
        </w:rPr>
        <w:t xml:space="preserve">yêu cầu, </w:t>
      </w:r>
      <w:r w:rsidRPr="00C411F0">
        <w:rPr>
          <w:iCs/>
          <w:color w:val="000000" w:themeColor="text1"/>
          <w:lang w:val="vi-VN"/>
        </w:rPr>
        <w:t>quy trình, thủ tục quy định bởi Tổ chức thẩm định, xác nhận độc lập</w:t>
      </w:r>
      <w:r w:rsidR="004D714F">
        <w:rPr>
          <w:iCs/>
          <w:color w:val="000000" w:themeColor="text1"/>
          <w:lang w:val="vi-VN"/>
        </w:rPr>
        <w:t xml:space="preserve"> (đối với trường hợp xác nhận tự nguyện)</w:t>
      </w:r>
      <w:r w:rsidRPr="00C411F0">
        <w:rPr>
          <w:iCs/>
          <w:color w:val="000000" w:themeColor="text1"/>
          <w:lang w:val="vi-VN"/>
        </w:rPr>
        <w:t>.</w:t>
      </w:r>
    </w:p>
    <w:p w14:paraId="094240E9" w14:textId="4409D5D9" w:rsidR="00023641" w:rsidRDefault="004D714F" w:rsidP="00023641">
      <w:pPr>
        <w:widowControl w:val="0"/>
        <w:spacing w:before="120" w:line="340" w:lineRule="exact"/>
        <w:ind w:firstLine="720"/>
        <w:jc w:val="both"/>
        <w:rPr>
          <w:iCs/>
          <w:color w:val="000000" w:themeColor="text1"/>
          <w:highlight w:val="white"/>
          <w:lang w:val="vi-VN"/>
        </w:rPr>
      </w:pPr>
      <w:r w:rsidRPr="00C411F0">
        <w:rPr>
          <w:iCs/>
          <w:color w:val="000000" w:themeColor="text1"/>
          <w:highlight w:val="white"/>
          <w:lang w:val="vi-VN"/>
        </w:rPr>
        <w:t xml:space="preserve">Theo ước tính, chi phí lập hồ sơ và thực hiện thủ tục </w:t>
      </w:r>
      <w:r w:rsidR="00023641">
        <w:rPr>
          <w:iCs/>
          <w:color w:val="000000" w:themeColor="text1"/>
          <w:highlight w:val="white"/>
          <w:lang w:val="vi-VN"/>
        </w:rPr>
        <w:t xml:space="preserve">hành chính </w:t>
      </w:r>
      <w:r w:rsidRPr="00C411F0">
        <w:rPr>
          <w:iCs/>
          <w:color w:val="000000" w:themeColor="text1"/>
          <w:highlight w:val="white"/>
          <w:lang w:val="vi-VN"/>
        </w:rPr>
        <w:t xml:space="preserve">xác nhận dự án xanh </w:t>
      </w:r>
      <w:r>
        <w:rPr>
          <w:iCs/>
          <w:color w:val="000000" w:themeColor="text1"/>
          <w:highlight w:val="white"/>
          <w:lang w:val="vi-VN"/>
        </w:rPr>
        <w:t>đối với dự án chuyển đối xanh</w:t>
      </w:r>
      <w:r w:rsidR="00824006">
        <w:rPr>
          <w:iCs/>
          <w:color w:val="000000" w:themeColor="text1"/>
          <w:highlight w:val="white"/>
          <w:lang w:val="vi-VN"/>
        </w:rPr>
        <w:t xml:space="preserve"> </w:t>
      </w:r>
      <w:r w:rsidR="00023641">
        <w:rPr>
          <w:iCs/>
          <w:color w:val="000000" w:themeColor="text1"/>
          <w:highlight w:val="white"/>
          <w:lang w:val="vi-VN"/>
        </w:rPr>
        <w:t xml:space="preserve">(do cơ quan quản lý nhà nước thẩm định, xác nhận) </w:t>
      </w:r>
      <w:r w:rsidR="00824006">
        <w:rPr>
          <w:iCs/>
          <w:color w:val="000000" w:themeColor="text1"/>
          <w:highlight w:val="white"/>
          <w:lang w:val="vi-VN"/>
        </w:rPr>
        <w:t xml:space="preserve">là </w:t>
      </w:r>
      <w:r w:rsidRPr="00C411F0">
        <w:rPr>
          <w:iCs/>
          <w:color w:val="000000" w:themeColor="text1"/>
          <w:highlight w:val="white"/>
          <w:lang w:val="vi-VN"/>
        </w:rPr>
        <w:t xml:space="preserve">khoảng </w:t>
      </w:r>
      <w:r w:rsidRPr="00C411F0">
        <w:rPr>
          <w:b/>
          <w:bCs/>
          <w:i/>
          <w:color w:val="000000" w:themeColor="text1"/>
          <w:highlight w:val="white"/>
          <w:lang w:val="vi-VN"/>
        </w:rPr>
        <w:t>1</w:t>
      </w:r>
      <w:r w:rsidRPr="009605FD">
        <w:rPr>
          <w:b/>
          <w:bCs/>
          <w:i/>
          <w:color w:val="000000" w:themeColor="text1"/>
          <w:highlight w:val="white"/>
          <w:lang w:val="vi-VN"/>
        </w:rPr>
        <w:t>5</w:t>
      </w:r>
      <w:r w:rsidRPr="00C411F0">
        <w:rPr>
          <w:b/>
          <w:bCs/>
          <w:i/>
          <w:color w:val="000000" w:themeColor="text1"/>
          <w:highlight w:val="white"/>
          <w:lang w:val="vi-VN"/>
        </w:rPr>
        <w:t xml:space="preserve"> triệu đồng/hồ sơ</w:t>
      </w:r>
      <w:r w:rsidRPr="00C411F0">
        <w:rPr>
          <w:rStyle w:val="FootnoteReference"/>
          <w:b/>
          <w:bCs/>
          <w:i/>
          <w:color w:val="000000" w:themeColor="text1"/>
          <w:highlight w:val="white"/>
          <w:lang w:val="vi-VN"/>
        </w:rPr>
        <w:footnoteReference w:id="21"/>
      </w:r>
      <w:r w:rsidRPr="00C411F0">
        <w:rPr>
          <w:iCs/>
          <w:color w:val="000000" w:themeColor="text1"/>
          <w:highlight w:val="white"/>
          <w:lang w:val="vi-VN"/>
        </w:rPr>
        <w:t>. Chi phí này sẽ là không đáng kể nếu các yêu cầu về hồ sơ, trình tự, quy trình xác nhận dự án xanh được quy định rõ ràng, minh bạch</w:t>
      </w:r>
      <w:r>
        <w:rPr>
          <w:iCs/>
          <w:color w:val="000000" w:themeColor="text1"/>
          <w:highlight w:val="white"/>
          <w:lang w:val="vi-VN"/>
        </w:rPr>
        <w:t xml:space="preserve"> và tăng cường triển khai trên cổng dịch vụ công</w:t>
      </w:r>
      <w:r w:rsidRPr="00C411F0">
        <w:rPr>
          <w:iCs/>
          <w:color w:val="000000" w:themeColor="text1"/>
          <w:highlight w:val="white"/>
          <w:lang w:val="vi-VN"/>
        </w:rPr>
        <w:t xml:space="preserve"> để hạn chế tối đa các yếu tố gây phiền nhiễu trong quá trình thực hiện thủ tục hành chính tại cơ quan quản lý nhà nước</w:t>
      </w:r>
      <w:r>
        <w:rPr>
          <w:iCs/>
          <w:color w:val="000000" w:themeColor="text1"/>
          <w:highlight w:val="white"/>
          <w:lang w:val="vi-VN"/>
        </w:rPr>
        <w:t>.</w:t>
      </w:r>
      <w:r w:rsidRPr="00C411F0">
        <w:rPr>
          <w:iCs/>
          <w:color w:val="000000" w:themeColor="text1"/>
          <w:highlight w:val="white"/>
          <w:lang w:val="vi-VN"/>
        </w:rPr>
        <w:t xml:space="preserve"> </w:t>
      </w:r>
    </w:p>
    <w:p w14:paraId="603643EC" w14:textId="77777777" w:rsidR="00023641" w:rsidRDefault="00824006" w:rsidP="00023641">
      <w:pPr>
        <w:widowControl w:val="0"/>
        <w:spacing w:before="120" w:line="340" w:lineRule="exact"/>
        <w:ind w:firstLine="720"/>
        <w:jc w:val="both"/>
        <w:rPr>
          <w:iCs/>
          <w:color w:val="000000" w:themeColor="text1"/>
          <w:highlight w:val="white"/>
          <w:lang w:val="vi-VN"/>
        </w:rPr>
      </w:pPr>
      <w:r>
        <w:rPr>
          <w:iCs/>
          <w:color w:val="000000" w:themeColor="text1"/>
          <w:highlight w:val="white"/>
          <w:lang w:val="vi-VN"/>
        </w:rPr>
        <w:t xml:space="preserve">Đối với trường hợp </w:t>
      </w:r>
      <w:r w:rsidR="00023641">
        <w:rPr>
          <w:iCs/>
          <w:color w:val="000000" w:themeColor="text1"/>
          <w:highlight w:val="white"/>
          <w:lang w:val="vi-VN"/>
        </w:rPr>
        <w:t>xác nhận tự nguyện, c</w:t>
      </w:r>
      <w:r>
        <w:rPr>
          <w:iCs/>
          <w:color w:val="000000" w:themeColor="text1"/>
          <w:highlight w:val="white"/>
          <w:lang w:val="vi-VN"/>
        </w:rPr>
        <w:t>hi phí lập hồ sơ</w:t>
      </w:r>
      <w:r w:rsidR="00023641">
        <w:rPr>
          <w:iCs/>
          <w:color w:val="000000" w:themeColor="text1"/>
          <w:highlight w:val="white"/>
          <w:lang w:val="vi-VN"/>
        </w:rPr>
        <w:t xml:space="preserve">, </w:t>
      </w:r>
      <w:r>
        <w:rPr>
          <w:iCs/>
          <w:color w:val="000000" w:themeColor="text1"/>
          <w:highlight w:val="white"/>
          <w:lang w:val="vi-VN"/>
        </w:rPr>
        <w:t xml:space="preserve">thực hiện thủ tục xác nhận xanh </w:t>
      </w:r>
      <w:r w:rsidR="00023641">
        <w:rPr>
          <w:iCs/>
          <w:color w:val="000000" w:themeColor="text1"/>
          <w:highlight w:val="white"/>
          <w:lang w:val="vi-VN"/>
        </w:rPr>
        <w:t xml:space="preserve">sẽ phụ thuộc vào </w:t>
      </w:r>
      <w:r>
        <w:rPr>
          <w:iCs/>
          <w:color w:val="000000" w:themeColor="text1"/>
          <w:highlight w:val="white"/>
          <w:lang w:val="vi-VN"/>
        </w:rPr>
        <w:t xml:space="preserve">thoả thuận giữa chủ dự án </w:t>
      </w:r>
      <w:r w:rsidR="00023641">
        <w:rPr>
          <w:iCs/>
          <w:color w:val="000000" w:themeColor="text1"/>
          <w:highlight w:val="white"/>
          <w:lang w:val="vi-VN"/>
        </w:rPr>
        <w:t xml:space="preserve">và tổ chức đánh giá, xác nhận độc lập. </w:t>
      </w:r>
    </w:p>
    <w:p w14:paraId="13BCBE2D" w14:textId="428AC1B6" w:rsidR="004D714F" w:rsidRPr="007054F5" w:rsidRDefault="004D714F" w:rsidP="00023641">
      <w:pPr>
        <w:widowControl w:val="0"/>
        <w:spacing w:before="120" w:line="340" w:lineRule="exact"/>
        <w:ind w:firstLine="720"/>
        <w:jc w:val="both"/>
        <w:rPr>
          <w:iCs/>
          <w:color w:val="000000" w:themeColor="text1"/>
          <w:spacing w:val="-2"/>
          <w:highlight w:val="white"/>
          <w:lang w:val="vi-VN"/>
        </w:rPr>
      </w:pPr>
      <w:r w:rsidRPr="007054F5">
        <w:rPr>
          <w:iCs/>
          <w:color w:val="000000" w:themeColor="text1"/>
          <w:spacing w:val="-2"/>
          <w:highlight w:val="white"/>
          <w:lang w:val="vi-VN"/>
        </w:rPr>
        <w:t>Về cơ bản</w:t>
      </w:r>
      <w:r w:rsidR="00023641" w:rsidRPr="007054F5">
        <w:rPr>
          <w:iCs/>
          <w:color w:val="000000" w:themeColor="text1"/>
          <w:spacing w:val="-2"/>
          <w:highlight w:val="white"/>
          <w:lang w:val="vi-VN"/>
        </w:rPr>
        <w:t>,</w:t>
      </w:r>
      <w:r w:rsidRPr="007054F5">
        <w:rPr>
          <w:iCs/>
          <w:color w:val="000000" w:themeColor="text1"/>
          <w:spacing w:val="-2"/>
          <w:highlight w:val="white"/>
          <w:lang w:val="vi-VN"/>
        </w:rPr>
        <w:t xml:space="preserve"> các đối tượng </w:t>
      </w:r>
      <w:r w:rsidR="00023641" w:rsidRPr="007054F5">
        <w:rPr>
          <w:iCs/>
          <w:color w:val="000000" w:themeColor="text1"/>
          <w:spacing w:val="-2"/>
          <w:highlight w:val="white"/>
          <w:lang w:val="vi-VN"/>
        </w:rPr>
        <w:t>trong cả 2 trường hợp nêu trên</w:t>
      </w:r>
      <w:r w:rsidRPr="007054F5">
        <w:rPr>
          <w:iCs/>
          <w:color w:val="000000" w:themeColor="text1"/>
          <w:spacing w:val="-2"/>
          <w:highlight w:val="white"/>
          <w:lang w:val="vi-VN"/>
        </w:rPr>
        <w:t xml:space="preserve"> sẽ sẵn lòng chi trả vì so với chi phí bỏ ra, lợi ích về mặt kinh tế khi được xác nhận dự án xanh để hưởng ưu đãi, hỗ trợ của Nhà nước cũng như thu hút nguồn vốn đầu tư sẽ cao hơn. </w:t>
      </w:r>
    </w:p>
    <w:p w14:paraId="7AA48286" w14:textId="48CF0A46" w:rsidR="00ED7FD7" w:rsidRDefault="00B003D4" w:rsidP="00ED7FD7">
      <w:pPr>
        <w:widowControl w:val="0"/>
        <w:spacing w:before="120" w:line="340" w:lineRule="exact"/>
        <w:ind w:firstLine="720"/>
        <w:jc w:val="both"/>
        <w:rPr>
          <w:iCs/>
          <w:color w:val="000000" w:themeColor="text1"/>
          <w:highlight w:val="white"/>
          <w:lang w:val="vi-VN"/>
        </w:rPr>
      </w:pPr>
      <w:r w:rsidRPr="00C411F0">
        <w:rPr>
          <w:iCs/>
          <w:color w:val="000000" w:themeColor="text1"/>
          <w:highlight w:val="white"/>
          <w:lang w:val="vi-VN"/>
        </w:rPr>
        <w:t xml:space="preserve">+ </w:t>
      </w:r>
      <w:r w:rsidRPr="00C411F0">
        <w:rPr>
          <w:i/>
          <w:color w:val="000000" w:themeColor="text1"/>
          <w:highlight w:val="white"/>
          <w:lang w:val="vi-VN"/>
        </w:rPr>
        <w:t>Đối với tổ chức đáp ứng được yêu cầu, tiêu chí là Tổ chức thẩm định độc lập dự án xanh</w:t>
      </w:r>
    </w:p>
    <w:p w14:paraId="3F436BC5" w14:textId="2BA1B4C7" w:rsidR="00ED7FD7" w:rsidRDefault="00253C8B" w:rsidP="00ED7FD7">
      <w:pPr>
        <w:widowControl w:val="0"/>
        <w:spacing w:before="120" w:line="340" w:lineRule="exact"/>
        <w:ind w:firstLine="720"/>
        <w:jc w:val="both"/>
        <w:rPr>
          <w:iCs/>
          <w:color w:val="000000" w:themeColor="text1"/>
          <w:highlight w:val="white"/>
          <w:lang w:val="vi-VN"/>
        </w:rPr>
      </w:pPr>
      <w:r>
        <w:rPr>
          <w:iCs/>
          <w:color w:val="000000" w:themeColor="text1"/>
          <w:highlight w:val="white"/>
          <w:lang w:val="vi-VN"/>
        </w:rPr>
        <w:t>Với phương án này, c</w:t>
      </w:r>
      <w:r w:rsidR="00B003D4" w:rsidRPr="00C411F0">
        <w:rPr>
          <w:iCs/>
          <w:color w:val="000000" w:themeColor="text1"/>
          <w:highlight w:val="white"/>
          <w:lang w:val="vi-VN"/>
        </w:rPr>
        <w:t xml:space="preserve">ác tổ chức </w:t>
      </w:r>
      <w:r w:rsidR="00ED7FD7">
        <w:rPr>
          <w:iCs/>
          <w:color w:val="000000" w:themeColor="text1"/>
          <w:highlight w:val="white"/>
          <w:lang w:val="vi-VN"/>
        </w:rPr>
        <w:t xml:space="preserve">đã có sẵn chức năng pháp lý để tham gia dịch vụ xác nhận xanh (ví dụ tổ chức kiểm toán độc lập, một số tổ chức chứng nhận, kiểm định thiết bị, sản phẩm, dịch vụ…) </w:t>
      </w:r>
      <w:r w:rsidR="00B003D4" w:rsidRPr="00C411F0">
        <w:rPr>
          <w:iCs/>
          <w:color w:val="000000" w:themeColor="text1"/>
          <w:highlight w:val="white"/>
          <w:lang w:val="vi-VN"/>
        </w:rPr>
        <w:t xml:space="preserve">sẽ phải </w:t>
      </w:r>
      <w:r>
        <w:rPr>
          <w:iCs/>
          <w:color w:val="000000" w:themeColor="text1"/>
          <w:highlight w:val="white"/>
          <w:lang w:val="vi-VN"/>
        </w:rPr>
        <w:t>đầu tư</w:t>
      </w:r>
      <w:r w:rsidR="00B003D4" w:rsidRPr="00C411F0">
        <w:rPr>
          <w:iCs/>
          <w:color w:val="000000" w:themeColor="text1"/>
          <w:highlight w:val="white"/>
          <w:lang w:val="vi-VN"/>
        </w:rPr>
        <w:t xml:space="preserve"> chi phí</w:t>
      </w:r>
      <w:r>
        <w:rPr>
          <w:iCs/>
          <w:color w:val="000000" w:themeColor="text1"/>
          <w:highlight w:val="white"/>
          <w:lang w:val="vi-VN"/>
        </w:rPr>
        <w:t xml:space="preserve">, </w:t>
      </w:r>
      <w:r w:rsidR="00B003D4" w:rsidRPr="00C411F0">
        <w:rPr>
          <w:iCs/>
          <w:color w:val="000000" w:themeColor="text1"/>
          <w:highlight w:val="white"/>
          <w:lang w:val="vi-VN"/>
        </w:rPr>
        <w:t>nguồn lực</w:t>
      </w:r>
      <w:r>
        <w:rPr>
          <w:iCs/>
          <w:color w:val="000000" w:themeColor="text1"/>
          <w:highlight w:val="white"/>
          <w:lang w:val="vi-VN"/>
        </w:rPr>
        <w:t xml:space="preserve"> để </w:t>
      </w:r>
      <w:r w:rsidR="00B003D4" w:rsidRPr="00C411F0">
        <w:rPr>
          <w:iCs/>
          <w:color w:val="000000" w:themeColor="text1"/>
          <w:highlight w:val="white"/>
          <w:lang w:val="vi-VN"/>
        </w:rPr>
        <w:t>n</w:t>
      </w:r>
      <w:r>
        <w:rPr>
          <w:iCs/>
          <w:color w:val="000000" w:themeColor="text1"/>
          <w:highlight w:val="white"/>
          <w:lang w:val="vi-VN"/>
        </w:rPr>
        <w:t>â</w:t>
      </w:r>
      <w:r w:rsidR="00B003D4" w:rsidRPr="00C411F0">
        <w:rPr>
          <w:iCs/>
          <w:color w:val="000000" w:themeColor="text1"/>
          <w:highlight w:val="white"/>
          <w:lang w:val="vi-VN"/>
        </w:rPr>
        <w:t>ng cao năng lực đáp ứng yêu cầu, điều kiện theo quy định</w:t>
      </w:r>
      <w:r>
        <w:rPr>
          <w:iCs/>
          <w:color w:val="000000" w:themeColor="text1"/>
          <w:highlight w:val="white"/>
          <w:lang w:val="vi-VN"/>
        </w:rPr>
        <w:t xml:space="preserve"> và </w:t>
      </w:r>
      <w:r w:rsidR="00ED7FD7">
        <w:rPr>
          <w:iCs/>
          <w:color w:val="000000" w:themeColor="text1"/>
          <w:highlight w:val="white"/>
          <w:lang w:val="vi-VN"/>
        </w:rPr>
        <w:t>nâng cao uy tín, thương hiệu trên thị trường</w:t>
      </w:r>
      <w:r w:rsidR="00B003D4" w:rsidRPr="00C411F0">
        <w:rPr>
          <w:iCs/>
          <w:color w:val="000000" w:themeColor="text1"/>
          <w:highlight w:val="white"/>
          <w:lang w:val="vi-VN"/>
        </w:rPr>
        <w:t xml:space="preserve">. </w:t>
      </w:r>
    </w:p>
    <w:p w14:paraId="3D8D8527" w14:textId="025E5C85" w:rsidR="00ED7FD7" w:rsidRDefault="00ED7FD7" w:rsidP="00ED7FD7">
      <w:pPr>
        <w:widowControl w:val="0"/>
        <w:spacing w:before="120" w:line="340" w:lineRule="exact"/>
        <w:ind w:firstLine="720"/>
        <w:jc w:val="both"/>
        <w:rPr>
          <w:iCs/>
          <w:color w:val="000000" w:themeColor="text1"/>
          <w:highlight w:val="white"/>
          <w:lang w:val="vi-VN"/>
        </w:rPr>
      </w:pPr>
      <w:r>
        <w:rPr>
          <w:iCs/>
          <w:color w:val="000000" w:themeColor="text1"/>
          <w:highlight w:val="white"/>
          <w:lang w:val="vi-VN"/>
        </w:rPr>
        <w:t xml:space="preserve">Các tổ chức khác có năng lực, nguồn lực nhưng chưa có chức năng pháp lý để tham gia sẽ </w:t>
      </w:r>
      <w:r w:rsidR="006059F7">
        <w:rPr>
          <w:iCs/>
          <w:color w:val="000000" w:themeColor="text1"/>
          <w:highlight w:val="white"/>
          <w:lang w:val="vi-VN"/>
        </w:rPr>
        <w:t xml:space="preserve">mất </w:t>
      </w:r>
      <w:r>
        <w:rPr>
          <w:iCs/>
          <w:color w:val="000000" w:themeColor="text1"/>
          <w:highlight w:val="white"/>
          <w:lang w:val="vi-VN"/>
        </w:rPr>
        <w:t xml:space="preserve">một khoảng </w:t>
      </w:r>
      <w:r w:rsidR="002B3ABC">
        <w:rPr>
          <w:iCs/>
          <w:color w:val="000000" w:themeColor="text1"/>
          <w:highlight w:val="white"/>
          <w:lang w:val="vi-VN"/>
        </w:rPr>
        <w:t xml:space="preserve">thời gian, kinh phí </w:t>
      </w:r>
      <w:r>
        <w:rPr>
          <w:iCs/>
          <w:color w:val="000000" w:themeColor="text1"/>
          <w:highlight w:val="white"/>
          <w:lang w:val="vi-VN"/>
        </w:rPr>
        <w:t xml:space="preserve">đầu tư và </w:t>
      </w:r>
      <w:r w:rsidR="00B003D4" w:rsidRPr="00C411F0">
        <w:rPr>
          <w:iCs/>
          <w:color w:val="000000" w:themeColor="text1"/>
          <w:highlight w:val="white"/>
          <w:lang w:val="vi-VN"/>
        </w:rPr>
        <w:t xml:space="preserve">phải tiến hành thủ tục hành chính </w:t>
      </w:r>
      <w:r>
        <w:rPr>
          <w:iCs/>
          <w:color w:val="000000" w:themeColor="text1"/>
          <w:highlight w:val="white"/>
          <w:lang w:val="vi-VN"/>
        </w:rPr>
        <w:t xml:space="preserve">có liên quan </w:t>
      </w:r>
      <w:r w:rsidR="00B003D4" w:rsidRPr="00C411F0">
        <w:rPr>
          <w:iCs/>
          <w:color w:val="000000" w:themeColor="text1"/>
          <w:highlight w:val="white"/>
          <w:lang w:val="vi-VN"/>
        </w:rPr>
        <w:t xml:space="preserve">với </w:t>
      </w:r>
      <w:r>
        <w:rPr>
          <w:iCs/>
          <w:color w:val="000000" w:themeColor="text1"/>
          <w:highlight w:val="white"/>
          <w:lang w:val="vi-VN"/>
        </w:rPr>
        <w:t xml:space="preserve">các </w:t>
      </w:r>
      <w:r w:rsidR="00B003D4" w:rsidRPr="00C411F0">
        <w:rPr>
          <w:iCs/>
          <w:color w:val="000000" w:themeColor="text1"/>
          <w:highlight w:val="white"/>
          <w:lang w:val="vi-VN"/>
        </w:rPr>
        <w:t xml:space="preserve">cơ quan nhà nước có thẩm quyền để được phép thực </w:t>
      </w:r>
      <w:r>
        <w:rPr>
          <w:iCs/>
          <w:color w:val="000000" w:themeColor="text1"/>
          <w:highlight w:val="white"/>
          <w:lang w:val="vi-VN"/>
        </w:rPr>
        <w:t xml:space="preserve">hiện dịch vụ </w:t>
      </w:r>
      <w:r w:rsidR="00B003D4" w:rsidRPr="00C411F0">
        <w:rPr>
          <w:iCs/>
          <w:color w:val="000000" w:themeColor="text1"/>
          <w:highlight w:val="white"/>
          <w:lang w:val="vi-VN"/>
        </w:rPr>
        <w:t xml:space="preserve">này. </w:t>
      </w:r>
    </w:p>
    <w:p w14:paraId="67AA362D" w14:textId="1FDB5D0D" w:rsidR="00B003D4" w:rsidRPr="00C411F0" w:rsidRDefault="00B003D4" w:rsidP="00ED7FD7">
      <w:pPr>
        <w:widowControl w:val="0"/>
        <w:spacing w:before="120" w:line="340" w:lineRule="exact"/>
        <w:ind w:firstLine="720"/>
        <w:jc w:val="both"/>
        <w:rPr>
          <w:iCs/>
          <w:color w:val="000000" w:themeColor="text1"/>
          <w:highlight w:val="white"/>
          <w:lang w:val="vi-VN"/>
        </w:rPr>
      </w:pPr>
      <w:r w:rsidRPr="00C411F0">
        <w:rPr>
          <w:iCs/>
          <w:color w:val="000000" w:themeColor="text1"/>
          <w:highlight w:val="white"/>
          <w:lang w:val="vi-VN"/>
        </w:rPr>
        <w:t>Bên cạnh đó, để bảo đảm trách nhiệm và duy trì được uy tín trong việc xác nhận dự án xanh, các Tổ chức thẩm định độc lập còn phải đầu tư kinh phí để triển khai việc kiểm tra, giám sát các dự án sau xác nhận.</w:t>
      </w:r>
    </w:p>
    <w:p w14:paraId="07ED568F"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Đối với người dân: </w:t>
      </w:r>
    </w:p>
    <w:p w14:paraId="371E693E" w14:textId="77777777" w:rsidR="00B003D4" w:rsidRPr="00C411F0" w:rsidRDefault="00B003D4" w:rsidP="00B003D4">
      <w:pPr>
        <w:widowControl w:val="0"/>
        <w:spacing w:before="120" w:line="340" w:lineRule="exact"/>
        <w:ind w:firstLine="720"/>
        <w:jc w:val="both"/>
        <w:rPr>
          <w:iCs/>
          <w:color w:val="000000" w:themeColor="text1"/>
          <w:highlight w:val="white"/>
          <w:lang w:val="vi-VN"/>
        </w:rPr>
      </w:pPr>
      <w:r w:rsidRPr="00C411F0">
        <w:rPr>
          <w:iCs/>
          <w:color w:val="000000" w:themeColor="text1"/>
          <w:highlight w:val="white"/>
          <w:lang w:val="vi-VN"/>
        </w:rPr>
        <w:t xml:space="preserve">Phương án này không có tác động tiêu cực đối với người dân, mà chỉ có tác động tích cực trực tiếp hoặc gián tiếp. Người dân cũng có thể là các nhà đầu tư </w:t>
      </w:r>
      <w:r w:rsidRPr="00C411F0">
        <w:rPr>
          <w:iCs/>
          <w:color w:val="000000" w:themeColor="text1"/>
          <w:highlight w:val="white"/>
          <w:lang w:val="vi-VN"/>
        </w:rPr>
        <w:lastRenderedPageBreak/>
        <w:t>mua trái phiếu xanh. Khi này, với việc dự án đã được xác nhận là dự án xanh, và các thông tin được minh bạch theo quy định, thì việc người dân tham gia đầu tư trái phiếu xanh để góp phần BVMT và gia tăng nguồn thu nhập cũng sẽ tăng lên (hưởng lợi ích kinh tế trực tiếp). Đồng thời, khi chất lượng môi trường sống được cải thiện, phát triển theo hướng kinh tế xanh, phát triển bền vững, người dân là đối tượng thụ hưởng, không phải mất các chi phí khám chữa bệnh hoặc chi phí để phòng, ngừa bệnh tật, tăng cường sức khoẻ do suy thoái, ô nhiễm môi trường  (hưởng lợi ích kinh tế gián tiếp).</w:t>
      </w:r>
    </w:p>
    <w:p w14:paraId="24B83954"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nl-NL"/>
        </w:rPr>
        <w:t>b</w:t>
      </w:r>
      <w:r w:rsidRPr="00C411F0">
        <w:rPr>
          <w:b/>
          <w:bCs/>
          <w:i/>
          <w:color w:val="000000" w:themeColor="text1"/>
          <w:highlight w:val="white"/>
          <w:lang w:val="vi-VN"/>
        </w:rPr>
        <w:t>)</w:t>
      </w:r>
      <w:r w:rsidRPr="00C411F0">
        <w:rPr>
          <w:b/>
          <w:bCs/>
          <w:i/>
          <w:color w:val="000000" w:themeColor="text1"/>
          <w:highlight w:val="white"/>
          <w:lang w:val="nl-NL"/>
        </w:rPr>
        <w:t xml:space="preserve"> Tác động về xã</w:t>
      </w:r>
      <w:r w:rsidRPr="00C411F0">
        <w:rPr>
          <w:b/>
          <w:bCs/>
          <w:i/>
          <w:color w:val="000000" w:themeColor="text1"/>
          <w:highlight w:val="white"/>
          <w:lang w:val="vi-VN"/>
        </w:rPr>
        <w:t xml:space="preserve"> hội:</w:t>
      </w:r>
    </w:p>
    <w:p w14:paraId="4A7C2222"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xml:space="preserve">* Đối với Nhà nước: </w:t>
      </w:r>
    </w:p>
    <w:p w14:paraId="17364B4B" w14:textId="77777777" w:rsidR="00B003D4" w:rsidRPr="00C411F0" w:rsidRDefault="00B003D4" w:rsidP="00B003D4">
      <w:pPr>
        <w:widowControl w:val="0"/>
        <w:spacing w:before="120" w:line="340" w:lineRule="exact"/>
        <w:ind w:firstLine="720"/>
        <w:jc w:val="both"/>
        <w:rPr>
          <w:color w:val="000000" w:themeColor="text1"/>
          <w:highlight w:val="white"/>
          <w:lang w:val="nl-NL"/>
        </w:rPr>
      </w:pPr>
      <w:r w:rsidRPr="00C411F0">
        <w:rPr>
          <w:i/>
          <w:color w:val="000000" w:themeColor="text1"/>
          <w:highlight w:val="white"/>
          <w:lang w:val="vi-VN"/>
        </w:rPr>
        <w:t xml:space="preserve">- </w:t>
      </w:r>
      <w:r w:rsidRPr="00C411F0">
        <w:rPr>
          <w:i/>
          <w:color w:val="000000" w:themeColor="text1"/>
          <w:highlight w:val="white"/>
          <w:lang w:val="nl-NL"/>
        </w:rPr>
        <w:t>Tác động tích</w:t>
      </w:r>
      <w:r w:rsidRPr="00C411F0">
        <w:rPr>
          <w:i/>
          <w:color w:val="000000" w:themeColor="text1"/>
          <w:highlight w:val="white"/>
          <w:lang w:val="vi-VN"/>
        </w:rPr>
        <w:t xml:space="preserve"> </w:t>
      </w:r>
      <w:r w:rsidRPr="00C411F0">
        <w:rPr>
          <w:i/>
          <w:color w:val="000000" w:themeColor="text1"/>
          <w:highlight w:val="white"/>
          <w:lang w:val="nl-NL"/>
        </w:rPr>
        <w:t>cực</w:t>
      </w:r>
      <w:r w:rsidRPr="00C411F0">
        <w:rPr>
          <w:color w:val="000000" w:themeColor="text1"/>
          <w:highlight w:val="white"/>
          <w:lang w:val="nl-NL"/>
        </w:rPr>
        <w:t>:</w:t>
      </w:r>
    </w:p>
    <w:p w14:paraId="18F34707" w14:textId="761F2B3D" w:rsidR="00B003D4" w:rsidRPr="00C411F0" w:rsidRDefault="00B003D4" w:rsidP="00B003D4">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Về cơ bản Phương án </w:t>
      </w:r>
      <w:r w:rsidR="001401FE">
        <w:rPr>
          <w:color w:val="000000" w:themeColor="text1"/>
          <w:lang w:val="vi-VN"/>
        </w:rPr>
        <w:t>1</w:t>
      </w:r>
      <w:r w:rsidRPr="00C411F0">
        <w:rPr>
          <w:color w:val="000000" w:themeColor="text1"/>
          <w:lang w:val="vi-VN"/>
        </w:rPr>
        <w:t xml:space="preserve"> có </w:t>
      </w:r>
      <w:r w:rsidR="001401FE">
        <w:rPr>
          <w:color w:val="000000" w:themeColor="text1"/>
          <w:lang w:val="vi-VN"/>
        </w:rPr>
        <w:t xml:space="preserve">rất </w:t>
      </w:r>
      <w:r w:rsidR="002B3ABC">
        <w:rPr>
          <w:color w:val="000000" w:themeColor="text1"/>
          <w:lang w:val="vi-VN"/>
        </w:rPr>
        <w:t xml:space="preserve">nhiều </w:t>
      </w:r>
      <w:r w:rsidRPr="00C411F0">
        <w:rPr>
          <w:color w:val="000000" w:themeColor="text1"/>
          <w:lang w:val="vi-VN"/>
        </w:rPr>
        <w:t>tác động tích cực về mặt xã hội đối với Nhà nước, cụ thể:</w:t>
      </w:r>
    </w:p>
    <w:p w14:paraId="47F895A9" w14:textId="24CABEDE" w:rsidR="00B003D4" w:rsidRPr="00C411F0" w:rsidRDefault="00FF2109" w:rsidP="00B003D4">
      <w:pPr>
        <w:widowControl w:val="0"/>
        <w:tabs>
          <w:tab w:val="right" w:leader="dot" w:pos="7920"/>
        </w:tabs>
        <w:spacing w:before="120" w:line="340" w:lineRule="exact"/>
        <w:ind w:firstLine="720"/>
        <w:jc w:val="both"/>
        <w:rPr>
          <w:color w:val="000000" w:themeColor="text1"/>
          <w:lang w:val="vi-VN"/>
        </w:rPr>
      </w:pPr>
      <w:r>
        <w:rPr>
          <w:lang w:val="vi-VN"/>
        </w:rPr>
        <w:t xml:space="preserve">So với Phương án 0, </w:t>
      </w:r>
      <w:r>
        <w:rPr>
          <w:color w:val="000000" w:themeColor="text1"/>
          <w:lang w:val="vi-VN"/>
        </w:rPr>
        <w:t>v</w:t>
      </w:r>
      <w:r w:rsidR="00B003D4" w:rsidRPr="00C411F0">
        <w:rPr>
          <w:color w:val="000000" w:themeColor="text1"/>
          <w:lang w:val="vi-VN"/>
        </w:rPr>
        <w:t>iệc ban hành quy định xác nhận xanh bảo đảm được tính thống nhất, đồng bộ về mặt pháp luật</w:t>
      </w:r>
      <w:r w:rsidR="001401FE">
        <w:rPr>
          <w:color w:val="000000" w:themeColor="text1"/>
          <w:lang w:val="vi-VN"/>
        </w:rPr>
        <w:t xml:space="preserve"> (theo quy định của Luật BVMT 2020 và Nghị định số 08/2022/NĐ-CP)</w:t>
      </w:r>
      <w:r w:rsidR="00B003D4" w:rsidRPr="00C411F0">
        <w:rPr>
          <w:color w:val="000000" w:themeColor="text1"/>
          <w:lang w:val="vi-VN"/>
        </w:rPr>
        <w:t>, bảo đảm đầy đủ cơ hội được hưởng các ưu đãi, hỗ trợ của Nhà nước của các tổ chức, cá nhân có nhu cầu như đã quy định trong các văn bản QPPL hiện hành. Đồng thời, với các lợi ích về mặt kinh tế, xã hội đi kèm khi chính sách phát huy hiệu quả như mong đợi, uy tín của Nhà nước sẽ được tăng lên đối với doanh nghiệp, cộng đồng dân cư và cả các nhà đầu tư lẫn cộng đồng quốc tế.</w:t>
      </w:r>
    </w:p>
    <w:p w14:paraId="3D8E6568" w14:textId="00CE5225" w:rsidR="00E72BFA" w:rsidRDefault="002B3ABC" w:rsidP="00BB2AF1">
      <w:pPr>
        <w:widowControl w:val="0"/>
        <w:tabs>
          <w:tab w:val="right" w:leader="dot" w:pos="7920"/>
        </w:tabs>
        <w:spacing w:before="120" w:line="340" w:lineRule="exact"/>
        <w:ind w:firstLine="720"/>
        <w:jc w:val="both"/>
        <w:rPr>
          <w:color w:val="000000" w:themeColor="text1"/>
          <w:lang w:val="vi-VN"/>
        </w:rPr>
      </w:pPr>
      <w:r>
        <w:rPr>
          <w:color w:val="000000" w:themeColor="text1"/>
          <w:lang w:val="vi-VN"/>
        </w:rPr>
        <w:t>Phương án này</w:t>
      </w:r>
      <w:r w:rsidR="00B003D4" w:rsidRPr="00C411F0">
        <w:rPr>
          <w:color w:val="000000" w:themeColor="text1"/>
          <w:lang w:val="vi-VN"/>
        </w:rPr>
        <w:t xml:space="preserve"> có ưu điểm </w:t>
      </w:r>
      <w:r>
        <w:rPr>
          <w:color w:val="000000" w:themeColor="text1"/>
          <w:lang w:val="vi-VN"/>
        </w:rPr>
        <w:t xml:space="preserve">lớn </w:t>
      </w:r>
      <w:r w:rsidR="00B003D4" w:rsidRPr="00C411F0">
        <w:rPr>
          <w:color w:val="000000" w:themeColor="text1"/>
          <w:lang w:val="vi-VN"/>
        </w:rPr>
        <w:t>trong việc</w:t>
      </w:r>
      <w:r w:rsidR="00BB2AF1">
        <w:rPr>
          <w:color w:val="000000" w:themeColor="text1"/>
          <w:lang w:val="vi-VN"/>
        </w:rPr>
        <w:t xml:space="preserve"> tạo điều kiện cho các tổ chức có đủ năng lực tham gia rộng rãi vào </w:t>
      </w:r>
      <w:r w:rsidR="001401FE">
        <w:rPr>
          <w:color w:val="000000" w:themeColor="text1"/>
          <w:lang w:val="vi-VN"/>
        </w:rPr>
        <w:t>dịch vụ xác nhận dự án xanh theo hình thức tự nguyện, qua đó thúc đẩy sự tham gia</w:t>
      </w:r>
      <w:r w:rsidR="004D3E16">
        <w:rPr>
          <w:color w:val="000000" w:themeColor="text1"/>
          <w:lang w:val="vi-VN"/>
        </w:rPr>
        <w:t>, gắn kết</w:t>
      </w:r>
      <w:r w:rsidR="001401FE">
        <w:rPr>
          <w:color w:val="000000" w:themeColor="text1"/>
          <w:lang w:val="vi-VN"/>
        </w:rPr>
        <w:t xml:space="preserve"> và nâng cao vai trò của các tổ chức, doanh nghiệp trong </w:t>
      </w:r>
      <w:r w:rsidR="00BB2AF1">
        <w:rPr>
          <w:color w:val="000000" w:themeColor="text1"/>
          <w:lang w:val="vi-VN"/>
        </w:rPr>
        <w:t xml:space="preserve">các hoạt động bảo vệ môi trường </w:t>
      </w:r>
      <w:r w:rsidR="001401FE">
        <w:rPr>
          <w:color w:val="000000" w:themeColor="text1"/>
          <w:lang w:val="vi-VN"/>
        </w:rPr>
        <w:t xml:space="preserve">nói chung và trong </w:t>
      </w:r>
      <w:r w:rsidR="00BB2AF1">
        <w:rPr>
          <w:color w:val="000000" w:themeColor="text1"/>
          <w:lang w:val="vi-VN"/>
        </w:rPr>
        <w:t>thị trường tài chính xanh</w:t>
      </w:r>
      <w:r w:rsidR="001401FE">
        <w:rPr>
          <w:color w:val="000000" w:themeColor="text1"/>
          <w:lang w:val="vi-VN"/>
        </w:rPr>
        <w:t xml:space="preserve"> nói riêng</w:t>
      </w:r>
      <w:r w:rsidR="004D3E16">
        <w:rPr>
          <w:color w:val="000000" w:themeColor="text1"/>
          <w:lang w:val="vi-VN"/>
        </w:rPr>
        <w:t xml:space="preserve"> dưới sự giám sát, điều tiết của Nhà nước</w:t>
      </w:r>
      <w:r w:rsidR="001401FE">
        <w:rPr>
          <w:color w:val="000000" w:themeColor="text1"/>
          <w:lang w:val="vi-VN"/>
        </w:rPr>
        <w:t xml:space="preserve">. Việc để các tổ chức, doanh nghiệp tham gia dịch vụ xác nhận dự án xanh tự nguyện cũng đã </w:t>
      </w:r>
      <w:r w:rsidR="00BB2AF1">
        <w:rPr>
          <w:color w:val="000000" w:themeColor="text1"/>
          <w:lang w:val="vi-VN"/>
        </w:rPr>
        <w:t xml:space="preserve">thể chế hoá </w:t>
      </w:r>
      <w:r w:rsidR="001401FE">
        <w:rPr>
          <w:color w:val="000000" w:themeColor="text1"/>
          <w:lang w:val="vi-VN"/>
        </w:rPr>
        <w:t xml:space="preserve">được </w:t>
      </w:r>
      <w:r w:rsidR="00B003D4" w:rsidRPr="00C411F0">
        <w:rPr>
          <w:color w:val="000000" w:themeColor="text1"/>
          <w:lang w:val="vi-VN"/>
        </w:rPr>
        <w:t>chủ trương</w:t>
      </w:r>
      <w:r w:rsidR="00BB2AF1">
        <w:rPr>
          <w:color w:val="000000" w:themeColor="text1"/>
          <w:lang w:val="vi-VN"/>
        </w:rPr>
        <w:t>, chính sách</w:t>
      </w:r>
      <w:r w:rsidR="00B003D4" w:rsidRPr="00C411F0">
        <w:rPr>
          <w:color w:val="000000" w:themeColor="text1"/>
          <w:lang w:val="vi-VN"/>
        </w:rPr>
        <w:t xml:space="preserve"> </w:t>
      </w:r>
      <w:r w:rsidR="00BB2AF1">
        <w:rPr>
          <w:color w:val="000000" w:themeColor="text1"/>
          <w:lang w:val="vi-VN"/>
        </w:rPr>
        <w:t xml:space="preserve">của Đảng và Nhà nước trong việc </w:t>
      </w:r>
      <w:r w:rsidR="00B003D4" w:rsidRPr="00C411F0">
        <w:rPr>
          <w:color w:val="000000" w:themeColor="text1"/>
          <w:lang w:val="vi-VN"/>
        </w:rPr>
        <w:t>xã hội hoá các dịch vụ công</w:t>
      </w:r>
      <w:r w:rsidR="00BB2AF1">
        <w:rPr>
          <w:color w:val="000000" w:themeColor="text1"/>
          <w:lang w:val="vi-VN"/>
        </w:rPr>
        <w:t xml:space="preserve">, </w:t>
      </w:r>
      <w:r w:rsidR="00BB2AF1" w:rsidRPr="00097886">
        <w:rPr>
          <w:color w:val="000000" w:themeColor="text1"/>
          <w:lang w:val="vi-VN"/>
        </w:rPr>
        <w:t>tiếp tục đổi mới, sắp xếp tổ chức bộ máy của hệ thống chính trị tinh gọn, hoạt động hiệu lực, hiệu quả</w:t>
      </w:r>
      <w:r w:rsidR="00BB2AF1">
        <w:rPr>
          <w:color w:val="000000" w:themeColor="text1"/>
          <w:lang w:val="vi-VN"/>
        </w:rPr>
        <w:t xml:space="preserve"> (</w:t>
      </w:r>
      <w:r w:rsidR="00BB2AF1" w:rsidRPr="00097886">
        <w:rPr>
          <w:color w:val="000000" w:themeColor="text1"/>
          <w:lang w:val="vi-VN"/>
        </w:rPr>
        <w:t>Nghị quyết số 18-NQ/TW ngày 25/10/2017</w:t>
      </w:r>
      <w:r w:rsidR="00BB2AF1">
        <w:rPr>
          <w:color w:val="000000" w:themeColor="text1"/>
          <w:lang w:val="vi-VN"/>
        </w:rPr>
        <w:t xml:space="preserve">, </w:t>
      </w:r>
      <w:r w:rsidR="00BB2AF1" w:rsidRPr="008C256C">
        <w:rPr>
          <w:color w:val="000000" w:themeColor="text1"/>
          <w:lang w:val="vi-VN"/>
        </w:rPr>
        <w:t>Quyết định số </w:t>
      </w:r>
      <w:hyperlink r:id="rId13" w:tgtFrame="_blank" w:tooltip="1046/QĐ-TTg" w:history="1">
        <w:r w:rsidR="00BB2AF1" w:rsidRPr="008C256C">
          <w:rPr>
            <w:color w:val="000000" w:themeColor="text1"/>
            <w:lang w:val="vi-VN"/>
          </w:rPr>
          <w:t>1046/QĐ-TTg</w:t>
        </w:r>
      </w:hyperlink>
      <w:r w:rsidR="00BB2AF1" w:rsidRPr="008C256C">
        <w:rPr>
          <w:color w:val="000000" w:themeColor="text1"/>
          <w:lang w:val="vi-VN"/>
        </w:rPr>
        <w:t> của Thủ tướng Chính phủ</w:t>
      </w:r>
      <w:r w:rsidR="00BB2AF1">
        <w:rPr>
          <w:color w:val="000000" w:themeColor="text1"/>
          <w:lang w:val="vi-VN"/>
        </w:rPr>
        <w:t>…)</w:t>
      </w:r>
      <w:r w:rsidR="00E72BFA">
        <w:rPr>
          <w:color w:val="000000" w:themeColor="text1"/>
          <w:lang w:val="vi-VN"/>
        </w:rPr>
        <w:t xml:space="preserve">, từ đó đem lại uy tín </w:t>
      </w:r>
      <w:r w:rsidR="00BB2AF1">
        <w:rPr>
          <w:color w:val="000000" w:themeColor="text1"/>
          <w:lang w:val="vi-VN"/>
        </w:rPr>
        <w:t xml:space="preserve">cao </w:t>
      </w:r>
      <w:r w:rsidR="00E72BFA">
        <w:rPr>
          <w:color w:val="000000" w:themeColor="text1"/>
          <w:lang w:val="vi-VN"/>
        </w:rPr>
        <w:t>cho Nhà nước.</w:t>
      </w:r>
      <w:r w:rsidR="0049508C">
        <w:rPr>
          <w:color w:val="000000" w:themeColor="text1"/>
          <w:lang w:val="vi-VN"/>
        </w:rPr>
        <w:t xml:space="preserve"> </w:t>
      </w:r>
    </w:p>
    <w:p w14:paraId="6B2EB116" w14:textId="06320EB1" w:rsidR="00D51809" w:rsidRDefault="001401FE" w:rsidP="00D51809">
      <w:pPr>
        <w:widowControl w:val="0"/>
        <w:tabs>
          <w:tab w:val="right" w:leader="dot" w:pos="7920"/>
        </w:tabs>
        <w:spacing w:before="120" w:line="340" w:lineRule="exact"/>
        <w:ind w:firstLine="720"/>
        <w:jc w:val="both"/>
        <w:rPr>
          <w:color w:val="000000" w:themeColor="text1"/>
          <w:lang w:val="vi-VN"/>
        </w:rPr>
      </w:pPr>
      <w:r>
        <w:rPr>
          <w:color w:val="000000" w:themeColor="text1"/>
          <w:lang w:val="vi-VN"/>
        </w:rPr>
        <w:t xml:space="preserve">Với Phương án này, việc xác nhận xanh đối với dự án chuyển đổi xanh để hưởng chính sách ưu đãi, hỗ trợ của Nhà nước là bắt buộc và sẽ phát sinh thủ tục hành chính. </w:t>
      </w:r>
      <w:r w:rsidR="004D3E16">
        <w:rPr>
          <w:color w:val="000000" w:themeColor="text1"/>
          <w:lang w:val="vi-VN"/>
        </w:rPr>
        <w:t>Trong điều kiện hiện nay của nước ta, điều này là cần thiết để bảo đảm thực hiện được các mục tiêu bảo vệ môi trường đã đặt ra. Quy định thực hiện thủ tục xác nhận xanh chặt chẽ đối với các dự án chuyển đổi xanh cũng góp phần giảm thiểu rủi ro xảy ra các trường hợp không thực sự xanh như cam kết (“green washing”) và từ đó cũng nâng cao uy tín, độ tin cậy cho Nhà nước.</w:t>
      </w:r>
      <w:r w:rsidR="00D51809">
        <w:rPr>
          <w:color w:val="000000" w:themeColor="text1"/>
          <w:lang w:val="vi-VN"/>
        </w:rPr>
        <w:t xml:space="preserve"> Đ</w:t>
      </w:r>
      <w:r w:rsidR="00D51809" w:rsidRPr="00C411F0">
        <w:rPr>
          <w:color w:val="000000" w:themeColor="text1"/>
          <w:lang w:val="vi-VN"/>
        </w:rPr>
        <w:t xml:space="preserve">ể bảo đảm tính chặt chẽ và tránh những rủi ro trên thực tế, </w:t>
      </w:r>
      <w:r w:rsidR="00D51809">
        <w:rPr>
          <w:color w:val="000000" w:themeColor="text1"/>
          <w:lang w:val="vi-VN"/>
        </w:rPr>
        <w:t xml:space="preserve">Dự thảo cũng đã quy định </w:t>
      </w:r>
      <w:r w:rsidR="00D51809" w:rsidRPr="00C411F0">
        <w:rPr>
          <w:color w:val="000000" w:themeColor="text1"/>
          <w:lang w:val="vi-VN"/>
        </w:rPr>
        <w:t xml:space="preserve">việc cơ </w:t>
      </w:r>
      <w:r w:rsidR="00D51809" w:rsidRPr="00C411F0">
        <w:rPr>
          <w:color w:val="000000" w:themeColor="text1"/>
          <w:lang w:val="vi-VN"/>
        </w:rPr>
        <w:lastRenderedPageBreak/>
        <w:t xml:space="preserve">quan QLNN về BVMT xác nhận, cấp giấy xác nhận đi đôi với kiểm tra, giám sát (hậu kiểm) và </w:t>
      </w:r>
      <w:r w:rsidR="00D51809">
        <w:rPr>
          <w:color w:val="000000" w:themeColor="text1"/>
          <w:lang w:val="vi-VN"/>
        </w:rPr>
        <w:t>thu hồi giấy xác nhận nếu d</w:t>
      </w:r>
      <w:r w:rsidR="00D51809" w:rsidRPr="007054F5">
        <w:rPr>
          <w:color w:val="000000" w:themeColor="text1"/>
          <w:lang w:val="vi-VN"/>
        </w:rPr>
        <w:t xml:space="preserve">ự án đầu tư không còn đáp ứng tiêu chí môi trường hoặc </w:t>
      </w:r>
      <w:r w:rsidR="00D51809">
        <w:rPr>
          <w:color w:val="000000" w:themeColor="text1"/>
          <w:lang w:val="vi-VN"/>
        </w:rPr>
        <w:t>t</w:t>
      </w:r>
      <w:r w:rsidR="00D51809" w:rsidRPr="007054F5">
        <w:rPr>
          <w:color w:val="000000" w:themeColor="text1"/>
          <w:lang w:val="vi-VN"/>
        </w:rPr>
        <w:t>ổ chức, cá nhân được cấp tín dụng xanh, phát hành trái phiếu xanh không duy trì thực hiện cam kết trong hồ sơ đề nghị xác nhận dự án đầu tư thuộc danh mục phân loại xanh</w:t>
      </w:r>
      <w:r w:rsidR="00D51809">
        <w:rPr>
          <w:color w:val="000000" w:themeColor="text1"/>
          <w:lang w:val="vi-VN"/>
        </w:rPr>
        <w:t>.</w:t>
      </w:r>
    </w:p>
    <w:p w14:paraId="53662146" w14:textId="7DBDFF89" w:rsidR="00B003D4" w:rsidRPr="00C411F0" w:rsidRDefault="00857BAB" w:rsidP="007054F5">
      <w:pPr>
        <w:widowControl w:val="0"/>
        <w:spacing w:before="120" w:line="340" w:lineRule="exact"/>
        <w:jc w:val="both"/>
        <w:rPr>
          <w:i/>
          <w:color w:val="000000" w:themeColor="text1"/>
          <w:highlight w:val="white"/>
          <w:lang w:val="vi-VN"/>
        </w:rPr>
      </w:pPr>
      <w:r>
        <w:rPr>
          <w:lang w:val="vi-VN"/>
        </w:rPr>
        <w:tab/>
      </w:r>
      <w:r w:rsidR="00B003D4" w:rsidRPr="00C411F0">
        <w:rPr>
          <w:i/>
          <w:color w:val="000000" w:themeColor="text1"/>
          <w:highlight w:val="white"/>
          <w:lang w:val="vi-VN"/>
        </w:rPr>
        <w:t>- Tác động tiêu cực:</w:t>
      </w:r>
    </w:p>
    <w:p w14:paraId="4CF45CCD" w14:textId="6AC9B2FC" w:rsidR="004D3E16" w:rsidRPr="00C411F0" w:rsidRDefault="00F930AC" w:rsidP="007054F5">
      <w:pPr>
        <w:widowControl w:val="0"/>
        <w:tabs>
          <w:tab w:val="right" w:leader="dot" w:pos="7920"/>
        </w:tabs>
        <w:spacing w:before="120" w:line="340" w:lineRule="exact"/>
        <w:jc w:val="both"/>
        <w:rPr>
          <w:color w:val="000000" w:themeColor="text1"/>
          <w:lang w:val="vi-VN"/>
        </w:rPr>
      </w:pPr>
      <w:r>
        <w:rPr>
          <w:color w:val="000000" w:themeColor="text1"/>
          <w:lang w:val="vi-VN"/>
        </w:rPr>
        <w:tab/>
      </w:r>
      <w:r w:rsidR="004D3E16">
        <w:rPr>
          <w:color w:val="000000" w:themeColor="text1"/>
          <w:lang w:val="vi-VN"/>
        </w:rPr>
        <w:t xml:space="preserve">Như đã nêu trên, phương án này sẽ làm phát sinh thủ tục hành chính </w:t>
      </w:r>
      <w:r w:rsidR="00857BAB">
        <w:rPr>
          <w:color w:val="000000" w:themeColor="text1"/>
          <w:lang w:val="vi-VN"/>
        </w:rPr>
        <w:t xml:space="preserve"> trong </w:t>
      </w:r>
      <w:r>
        <w:rPr>
          <w:color w:val="000000" w:themeColor="text1"/>
          <w:lang w:val="vi-VN"/>
        </w:rPr>
        <w:t xml:space="preserve">trường hợp </w:t>
      </w:r>
      <w:r w:rsidR="004D3E16">
        <w:rPr>
          <w:color w:val="000000" w:themeColor="text1"/>
          <w:lang w:val="vi-VN"/>
        </w:rPr>
        <w:t>cơ quan quản lý nhà nước có thẩm quyền về BVMT thực hiện thẩm định, xác nhận đối với các dự án chuyển đổi xanh</w:t>
      </w:r>
      <w:r>
        <w:rPr>
          <w:color w:val="000000" w:themeColor="text1"/>
          <w:lang w:val="vi-VN"/>
        </w:rPr>
        <w:t>. Tuy nhiên, các trường hợp phải thực hiện thủ tục hành chính dự kiến sẽ là không nhiều (chỉ quy định cho 05 loại hình dự án) nên tác động tiêu cực sẽ là không lớn, đặc biệt khi thủ tục được quy định rõ ràng, minh bạch và tạo điều kiện thuận lợi cho tổ chức, cá nhân thực hiện.</w:t>
      </w:r>
    </w:p>
    <w:p w14:paraId="6FAB7158"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Đối với doanh nghiệp:</w:t>
      </w:r>
    </w:p>
    <w:p w14:paraId="1F2841AB" w14:textId="4FF93F85" w:rsidR="00B003D4" w:rsidRPr="00C411F0" w:rsidRDefault="00B003D4" w:rsidP="00B003D4">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Giao việc đánh giá, xác nhận dự án xanh </w:t>
      </w:r>
      <w:r w:rsidR="00F930AC">
        <w:rPr>
          <w:color w:val="000000" w:themeColor="text1"/>
          <w:lang w:val="vi-VN"/>
        </w:rPr>
        <w:t xml:space="preserve">trong trường hợp tự nguyện </w:t>
      </w:r>
      <w:r w:rsidRPr="00C411F0">
        <w:rPr>
          <w:color w:val="000000" w:themeColor="text1"/>
          <w:lang w:val="vi-VN"/>
        </w:rPr>
        <w:t xml:space="preserve">cho </w:t>
      </w:r>
      <w:r w:rsidR="006414CD">
        <w:rPr>
          <w:color w:val="000000" w:themeColor="text1"/>
          <w:lang w:val="vi-VN"/>
        </w:rPr>
        <w:t xml:space="preserve">các </w:t>
      </w:r>
      <w:r w:rsidRPr="00C411F0">
        <w:rPr>
          <w:color w:val="000000" w:themeColor="text1"/>
          <w:lang w:val="vi-VN"/>
        </w:rPr>
        <w:t xml:space="preserve">Tổ chức </w:t>
      </w:r>
      <w:r w:rsidR="006414CD">
        <w:rPr>
          <w:color w:val="000000" w:themeColor="text1"/>
          <w:lang w:val="vi-VN"/>
        </w:rPr>
        <w:t xml:space="preserve">độc lập </w:t>
      </w:r>
      <w:r w:rsidRPr="00C411F0">
        <w:rPr>
          <w:color w:val="000000" w:themeColor="text1"/>
          <w:lang w:val="vi-VN"/>
        </w:rPr>
        <w:t>thực hiện là phương án có tính xã hội hoá ca</w:t>
      </w:r>
      <w:r w:rsidR="00E72BFA">
        <w:rPr>
          <w:color w:val="000000" w:themeColor="text1"/>
          <w:lang w:val="vi-VN"/>
        </w:rPr>
        <w:t>o</w:t>
      </w:r>
      <w:r w:rsidR="00F930AC">
        <w:rPr>
          <w:color w:val="000000" w:themeColor="text1"/>
          <w:lang w:val="vi-VN"/>
        </w:rPr>
        <w:t>.</w:t>
      </w:r>
      <w:r w:rsidRPr="00C411F0">
        <w:rPr>
          <w:color w:val="000000" w:themeColor="text1"/>
          <w:lang w:val="vi-VN"/>
        </w:rPr>
        <w:t xml:space="preserve"> </w:t>
      </w:r>
      <w:r w:rsidR="006414CD">
        <w:rPr>
          <w:color w:val="000000" w:themeColor="text1"/>
          <w:lang w:val="vi-VN"/>
        </w:rPr>
        <w:t>C</w:t>
      </w:r>
      <w:r w:rsidR="00E72BFA">
        <w:rPr>
          <w:color w:val="000000" w:themeColor="text1"/>
          <w:lang w:val="vi-VN"/>
        </w:rPr>
        <w:t>ác doanh nghiệp được tạo cơ hội tham gia vào nhiều hoạt động hơn</w:t>
      </w:r>
      <w:r w:rsidR="006414CD">
        <w:rPr>
          <w:color w:val="000000" w:themeColor="text1"/>
          <w:lang w:val="vi-VN"/>
        </w:rPr>
        <w:t>, mở rộng thị trường và các mối liên kết</w:t>
      </w:r>
      <w:r w:rsidR="00E72BFA">
        <w:rPr>
          <w:color w:val="000000" w:themeColor="text1"/>
          <w:lang w:val="vi-VN"/>
        </w:rPr>
        <w:t>,</w:t>
      </w:r>
      <w:r w:rsidR="006414CD">
        <w:rPr>
          <w:color w:val="000000" w:themeColor="text1"/>
          <w:lang w:val="vi-VN"/>
        </w:rPr>
        <w:t xml:space="preserve"> đồng thời tăng cường sự tham gia và </w:t>
      </w:r>
      <w:r w:rsidR="00E72BFA">
        <w:rPr>
          <w:color w:val="000000" w:themeColor="text1"/>
          <w:lang w:val="vi-VN"/>
        </w:rPr>
        <w:t>nâng cao trách nhiệm</w:t>
      </w:r>
      <w:r w:rsidRPr="00C411F0">
        <w:rPr>
          <w:color w:val="000000" w:themeColor="text1"/>
          <w:lang w:val="vi-VN"/>
        </w:rPr>
        <w:t xml:space="preserve"> </w:t>
      </w:r>
      <w:r w:rsidR="00E72BFA">
        <w:rPr>
          <w:color w:val="000000" w:themeColor="text1"/>
          <w:lang w:val="vi-VN"/>
        </w:rPr>
        <w:t>xã hội của doanh nghiệp</w:t>
      </w:r>
      <w:r w:rsidR="006414CD">
        <w:rPr>
          <w:color w:val="000000" w:themeColor="text1"/>
          <w:lang w:val="vi-VN"/>
        </w:rPr>
        <w:t>, khối tư nhân</w:t>
      </w:r>
      <w:r w:rsidR="00E72BFA">
        <w:rPr>
          <w:color w:val="000000" w:themeColor="text1"/>
          <w:lang w:val="vi-VN"/>
        </w:rPr>
        <w:t xml:space="preserve"> trong các hoạt động bảo vệ môi trường.</w:t>
      </w:r>
      <w:r w:rsidR="00F930AC">
        <w:rPr>
          <w:color w:val="000000" w:themeColor="text1"/>
          <w:lang w:val="vi-VN"/>
        </w:rPr>
        <w:t xml:space="preserve"> Do đó, với phương án này,</w:t>
      </w:r>
      <w:r w:rsidR="00E72BFA">
        <w:rPr>
          <w:color w:val="000000" w:themeColor="text1"/>
          <w:lang w:val="vi-VN"/>
        </w:rPr>
        <w:t xml:space="preserve"> </w:t>
      </w:r>
      <w:r w:rsidR="00F930AC">
        <w:rPr>
          <w:color w:val="000000" w:themeColor="text1"/>
          <w:lang w:val="vi-VN"/>
        </w:rPr>
        <w:t>s</w:t>
      </w:r>
      <w:r w:rsidRPr="00C411F0">
        <w:rPr>
          <w:color w:val="000000" w:themeColor="text1"/>
          <w:lang w:val="vi-VN"/>
        </w:rPr>
        <w:t xml:space="preserve">ự tham gia và gắn kết giữa các nhóm doanh nghiệp cũng như giữa doanh nghiệp – Nhà nước – Người dân là chặt chẽ nhất. </w:t>
      </w:r>
    </w:p>
    <w:p w14:paraId="666C0AF8"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Đối với môi trường:</w:t>
      </w:r>
    </w:p>
    <w:p w14:paraId="48A36192" w14:textId="3124C0D2" w:rsidR="00F930AC" w:rsidRDefault="00B003D4" w:rsidP="00B003D4">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 xml:space="preserve">Việc xác nhận dự án xanh để hưởng ưu đãi, hỗ trợ của Nhà nước sẽ kích thích các tổ chức, cá nhân tham gia vào thị trường tín dụng xanh, trái phiếu xanh. </w:t>
      </w:r>
      <w:r w:rsidR="00F930AC">
        <w:rPr>
          <w:color w:val="000000" w:themeColor="text1"/>
          <w:lang w:val="vi-VN"/>
        </w:rPr>
        <w:t xml:space="preserve">Việc xác nhận dự án xanh cũng nâng cao uy tín, độ tin cậy của các dự án trong mắt các nhà đầu tư muốn đầu tư vào </w:t>
      </w:r>
      <w:r w:rsidR="00AD3923">
        <w:rPr>
          <w:color w:val="000000" w:themeColor="text1"/>
          <w:lang w:val="vi-VN"/>
        </w:rPr>
        <w:t xml:space="preserve">các </w:t>
      </w:r>
      <w:r w:rsidR="00F930AC">
        <w:rPr>
          <w:color w:val="000000" w:themeColor="text1"/>
          <w:lang w:val="vi-VN"/>
        </w:rPr>
        <w:t xml:space="preserve">hoạt động </w:t>
      </w:r>
      <w:r w:rsidR="00AD3923">
        <w:rPr>
          <w:color w:val="000000" w:themeColor="text1"/>
          <w:lang w:val="vi-VN"/>
        </w:rPr>
        <w:t xml:space="preserve">thực hiện mục tiêu </w:t>
      </w:r>
      <w:r w:rsidR="00F930AC">
        <w:rPr>
          <w:color w:val="000000" w:themeColor="text1"/>
          <w:lang w:val="vi-VN"/>
        </w:rPr>
        <w:t xml:space="preserve">bảo vệ môi trường, </w:t>
      </w:r>
      <w:r w:rsidR="00AD3923">
        <w:rPr>
          <w:color w:val="000000" w:themeColor="text1"/>
          <w:lang w:val="vi-VN"/>
        </w:rPr>
        <w:t xml:space="preserve">phát triển bền vững, </w:t>
      </w:r>
      <w:r w:rsidR="00F930AC">
        <w:rPr>
          <w:color w:val="000000" w:themeColor="text1"/>
          <w:lang w:val="vi-VN"/>
        </w:rPr>
        <w:t>từ đó sẽ thu hút được nhiều đầu tư hơn cho dự án.</w:t>
      </w:r>
    </w:p>
    <w:p w14:paraId="59EDC1BB" w14:textId="217F5F1D" w:rsidR="00B003D4" w:rsidRPr="007054F5" w:rsidRDefault="00B003D4" w:rsidP="00B003D4">
      <w:pPr>
        <w:widowControl w:val="0"/>
        <w:tabs>
          <w:tab w:val="right" w:leader="dot" w:pos="7920"/>
        </w:tabs>
        <w:spacing w:before="120" w:line="340" w:lineRule="exact"/>
        <w:ind w:firstLine="720"/>
        <w:jc w:val="both"/>
        <w:rPr>
          <w:color w:val="000000" w:themeColor="text1"/>
          <w:spacing w:val="-4"/>
          <w:lang w:val="vi-VN"/>
        </w:rPr>
      </w:pPr>
      <w:r w:rsidRPr="007054F5">
        <w:rPr>
          <w:color w:val="000000" w:themeColor="text1"/>
          <w:spacing w:val="-4"/>
          <w:lang w:val="vi-VN"/>
        </w:rPr>
        <w:t xml:space="preserve">Hơn nữa, việc thẩm định, đánh giá, xác nhận dự án </w:t>
      </w:r>
      <w:r w:rsidR="00AD3923" w:rsidRPr="007054F5">
        <w:rPr>
          <w:color w:val="000000" w:themeColor="text1"/>
          <w:spacing w:val="-4"/>
          <w:lang w:val="vi-VN"/>
        </w:rPr>
        <w:t xml:space="preserve">chuyển đổi </w:t>
      </w:r>
      <w:r w:rsidRPr="007054F5">
        <w:rPr>
          <w:color w:val="000000" w:themeColor="text1"/>
          <w:spacing w:val="-4"/>
          <w:lang w:val="vi-VN"/>
        </w:rPr>
        <w:t xml:space="preserve">xanh được thực hiện </w:t>
      </w:r>
      <w:r w:rsidR="00AD3923" w:rsidRPr="007054F5">
        <w:rPr>
          <w:color w:val="000000" w:themeColor="text1"/>
          <w:spacing w:val="-4"/>
          <w:lang w:val="vi-VN"/>
        </w:rPr>
        <w:t xml:space="preserve">chặt chẽ bởi cơ quan quản lý nhà nước về BVMT </w:t>
      </w:r>
      <w:r w:rsidRPr="007054F5">
        <w:rPr>
          <w:color w:val="000000" w:themeColor="text1"/>
          <w:spacing w:val="-4"/>
          <w:lang w:val="vi-VN"/>
        </w:rPr>
        <w:t xml:space="preserve">cũng giúp loại trừ những dự án lợi dụng danh nghĩa xanh nhưng bản chất lại tiềm ẩn những tác động xấu đến môi trường. Do đó, Phương án này có </w:t>
      </w:r>
      <w:r w:rsidR="00F930AC" w:rsidRPr="007054F5">
        <w:rPr>
          <w:color w:val="000000" w:themeColor="text1"/>
          <w:spacing w:val="-4"/>
          <w:lang w:val="vi-VN"/>
        </w:rPr>
        <w:t xml:space="preserve">nhiều </w:t>
      </w:r>
      <w:r w:rsidRPr="007054F5">
        <w:rPr>
          <w:color w:val="000000" w:themeColor="text1"/>
          <w:spacing w:val="-4"/>
          <w:lang w:val="vi-VN"/>
        </w:rPr>
        <w:t>tác động tích cực đến môi trường.</w:t>
      </w:r>
    </w:p>
    <w:p w14:paraId="112E0385" w14:textId="77777777" w:rsidR="00B003D4" w:rsidRPr="00C411F0" w:rsidRDefault="00B003D4" w:rsidP="00B003D4">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vi-VN"/>
        </w:rPr>
        <w:t>* Đối với người dân:</w:t>
      </w:r>
    </w:p>
    <w:p w14:paraId="2D49BDF7" w14:textId="77777777" w:rsidR="00B003D4" w:rsidRPr="00C411F0" w:rsidRDefault="00B003D4" w:rsidP="00B003D4">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Tác động tích cực đến môi trường và góp phần bảo đảm tính minh bạch, lành mạnh của thị trường tín dụng xanh, trái phiếu xanh cũng mang lại tâm lý an tâm và tin tưởng, tăng cường sự gắn kết của người dân vào các hoạt động tài chính xanh và BVMT.</w:t>
      </w:r>
    </w:p>
    <w:p w14:paraId="01096C80" w14:textId="455851A2" w:rsidR="00B003D4" w:rsidRPr="00C411F0" w:rsidRDefault="00B003D4" w:rsidP="006414CD">
      <w:pPr>
        <w:widowControl w:val="0"/>
        <w:tabs>
          <w:tab w:val="right" w:leader="dot" w:pos="7920"/>
        </w:tabs>
        <w:spacing w:before="120" w:line="340" w:lineRule="exact"/>
        <w:ind w:firstLine="720"/>
        <w:jc w:val="both"/>
        <w:rPr>
          <w:color w:val="000000" w:themeColor="text1"/>
          <w:lang w:val="vi-VN"/>
        </w:rPr>
      </w:pPr>
      <w:r w:rsidRPr="00C411F0">
        <w:rPr>
          <w:color w:val="000000" w:themeColor="text1"/>
          <w:lang w:val="vi-VN"/>
        </w:rPr>
        <w:t>Ngoài ra, việc hình thành và trao quyền đánh giá, xác nhận dự án xanh</w:t>
      </w:r>
      <w:r w:rsidR="00AD3923">
        <w:rPr>
          <w:color w:val="000000" w:themeColor="text1"/>
          <w:lang w:val="vi-VN"/>
        </w:rPr>
        <w:t xml:space="preserve"> theo hình thức tự nguyện</w:t>
      </w:r>
      <w:r w:rsidRPr="00C411F0">
        <w:rPr>
          <w:color w:val="000000" w:themeColor="text1"/>
          <w:lang w:val="vi-VN"/>
        </w:rPr>
        <w:t xml:space="preserve"> cho các Tổ chức </w:t>
      </w:r>
      <w:r w:rsidR="006414CD">
        <w:rPr>
          <w:color w:val="000000" w:themeColor="text1"/>
          <w:lang w:val="vi-VN"/>
        </w:rPr>
        <w:t xml:space="preserve">đánh giá, xác nhận </w:t>
      </w:r>
      <w:r w:rsidRPr="00C411F0">
        <w:rPr>
          <w:color w:val="000000" w:themeColor="text1"/>
          <w:lang w:val="vi-VN"/>
        </w:rPr>
        <w:t xml:space="preserve">độc lập cũng khuyến khích, tăng cường sự tham gia và nâng cao vai trò, vị thế của các nhà khoa học vào thị trường tài chính xanh và vào việc thực hiện mục tiêu môi trường, phát </w:t>
      </w:r>
      <w:r w:rsidRPr="00C411F0">
        <w:rPr>
          <w:color w:val="000000" w:themeColor="text1"/>
          <w:lang w:val="vi-VN"/>
        </w:rPr>
        <w:lastRenderedPageBreak/>
        <w:t>triển bền vững</w:t>
      </w:r>
      <w:r w:rsidR="006414CD">
        <w:rPr>
          <w:color w:val="000000" w:themeColor="text1"/>
          <w:lang w:val="vi-VN"/>
        </w:rPr>
        <w:t>.</w:t>
      </w:r>
    </w:p>
    <w:p w14:paraId="61940DB7" w14:textId="77777777" w:rsidR="00B003D4" w:rsidRPr="00C411F0" w:rsidRDefault="00B003D4" w:rsidP="006414CD">
      <w:pPr>
        <w:widowControl w:val="0"/>
        <w:spacing w:before="120" w:line="340" w:lineRule="exact"/>
        <w:ind w:firstLine="720"/>
        <w:jc w:val="both"/>
        <w:rPr>
          <w:b/>
          <w:bCs/>
          <w:i/>
          <w:color w:val="000000" w:themeColor="text1"/>
          <w:highlight w:val="white"/>
          <w:lang w:val="vi-VN"/>
        </w:rPr>
      </w:pPr>
      <w:r w:rsidRPr="00C411F0">
        <w:rPr>
          <w:b/>
          <w:bCs/>
          <w:i/>
          <w:color w:val="000000" w:themeColor="text1"/>
          <w:highlight w:val="white"/>
          <w:lang w:val="nl-NL"/>
        </w:rPr>
        <w:t>c</w:t>
      </w:r>
      <w:r w:rsidRPr="00C411F0">
        <w:rPr>
          <w:b/>
          <w:bCs/>
          <w:i/>
          <w:color w:val="000000" w:themeColor="text1"/>
          <w:highlight w:val="white"/>
          <w:lang w:val="vi-VN"/>
        </w:rPr>
        <w:t>)</w:t>
      </w:r>
      <w:r w:rsidRPr="00C411F0">
        <w:rPr>
          <w:b/>
          <w:bCs/>
          <w:i/>
          <w:color w:val="000000" w:themeColor="text1"/>
          <w:highlight w:val="white"/>
          <w:lang w:val="nl-NL"/>
        </w:rPr>
        <w:t xml:space="preserve"> Tác động về giới</w:t>
      </w:r>
      <w:r w:rsidRPr="00C411F0">
        <w:rPr>
          <w:b/>
          <w:bCs/>
          <w:i/>
          <w:color w:val="000000" w:themeColor="text1"/>
          <w:highlight w:val="white"/>
          <w:lang w:val="vi-VN"/>
        </w:rPr>
        <w:t>:</w:t>
      </w:r>
    </w:p>
    <w:p w14:paraId="07DF0D90" w14:textId="223578FA" w:rsidR="00B003D4" w:rsidRDefault="00B003D4" w:rsidP="006414CD">
      <w:pPr>
        <w:widowControl w:val="0"/>
        <w:tabs>
          <w:tab w:val="right" w:leader="dot" w:pos="7920"/>
        </w:tabs>
        <w:spacing w:before="120" w:line="340" w:lineRule="exact"/>
        <w:ind w:firstLine="720"/>
        <w:jc w:val="both"/>
        <w:rPr>
          <w:bCs/>
          <w:color w:val="000000" w:themeColor="text1"/>
          <w:lang w:val="vi-VN"/>
        </w:rPr>
      </w:pPr>
      <w:r w:rsidRPr="00C411F0">
        <w:rPr>
          <w:bCs/>
          <w:color w:val="000000" w:themeColor="text1"/>
          <w:lang w:val="vi-VN"/>
        </w:rPr>
        <w:t>Việc thực hiện xác nhận dự án xanh</w:t>
      </w:r>
      <w:r w:rsidR="006414CD">
        <w:rPr>
          <w:bCs/>
          <w:color w:val="000000" w:themeColor="text1"/>
          <w:lang w:val="vi-VN"/>
        </w:rPr>
        <w:t xml:space="preserve"> theo Phương án 1</w:t>
      </w:r>
      <w:r w:rsidRPr="00C411F0">
        <w:rPr>
          <w:bCs/>
          <w:color w:val="000000" w:themeColor="text1"/>
          <w:lang w:val="vi-VN"/>
        </w:rPr>
        <w:t xml:space="preserve"> không phân biệt và không tạo nên sự bất bình đẳng giữa các giới trong việc tiếp cận, tham gia các hoạt động liên quan, do đó Phương án này không có tác động về giới.</w:t>
      </w:r>
    </w:p>
    <w:p w14:paraId="1317F15B" w14:textId="77777777" w:rsidR="00B003D4" w:rsidRPr="00C411F0" w:rsidRDefault="00B003D4" w:rsidP="006414CD">
      <w:pPr>
        <w:widowControl w:val="0"/>
        <w:tabs>
          <w:tab w:val="right" w:leader="dot" w:pos="7920"/>
        </w:tabs>
        <w:spacing w:before="120" w:line="340" w:lineRule="exact"/>
        <w:ind w:firstLine="720"/>
        <w:jc w:val="both"/>
        <w:rPr>
          <w:b/>
          <w:bCs/>
          <w:i/>
          <w:iCs/>
          <w:color w:val="000000" w:themeColor="text1"/>
          <w:lang w:val="vi-VN"/>
        </w:rPr>
      </w:pPr>
      <w:r w:rsidRPr="00C411F0">
        <w:rPr>
          <w:b/>
          <w:bCs/>
          <w:i/>
          <w:iCs/>
          <w:color w:val="000000" w:themeColor="text1"/>
          <w:lang w:val="vi-VN"/>
        </w:rPr>
        <w:t>d) Tác động về thủ tục hành chính:</w:t>
      </w:r>
    </w:p>
    <w:p w14:paraId="1892F1B3" w14:textId="2859EC28" w:rsidR="00B003D4" w:rsidRDefault="006414CD" w:rsidP="006414CD">
      <w:pPr>
        <w:widowControl w:val="0"/>
        <w:tabs>
          <w:tab w:val="right" w:leader="dot" w:pos="7920"/>
        </w:tabs>
        <w:spacing w:before="120" w:line="340" w:lineRule="exact"/>
        <w:ind w:firstLine="720"/>
        <w:jc w:val="both"/>
        <w:rPr>
          <w:color w:val="000000" w:themeColor="text1"/>
          <w:spacing w:val="-2"/>
          <w:lang w:val="vi-VN"/>
        </w:rPr>
      </w:pPr>
      <w:r>
        <w:rPr>
          <w:color w:val="000000" w:themeColor="text1"/>
          <w:spacing w:val="-2"/>
          <w:lang w:val="vi-VN"/>
        </w:rPr>
        <w:tab/>
      </w:r>
      <w:r w:rsidR="00AD3923">
        <w:rPr>
          <w:color w:val="000000" w:themeColor="text1"/>
          <w:spacing w:val="-2"/>
          <w:lang w:val="vi-VN"/>
        </w:rPr>
        <w:t>Việc xã hội hoá dịch vụ xác nhận xanh tự nguyện</w:t>
      </w:r>
      <w:r w:rsidR="00E72BFA">
        <w:rPr>
          <w:color w:val="000000" w:themeColor="text1"/>
          <w:spacing w:val="-2"/>
          <w:lang w:val="vi-VN"/>
        </w:rPr>
        <w:t xml:space="preserve"> được thực hiện trên cơ sở tổ chức, cá nhận có nhu cầu tự lựa chọn, ký kết hợp đồng, thoả thuận với các </w:t>
      </w:r>
      <w:r w:rsidR="00E72BFA" w:rsidRPr="006E606E">
        <w:rPr>
          <w:color w:val="000000" w:themeColor="text1"/>
          <w:spacing w:val="-2"/>
          <w:lang w:val="vi-VN"/>
        </w:rPr>
        <w:t>tổ chức đánh giá, xác nhận độc lập</w:t>
      </w:r>
      <w:r w:rsidR="00B003D4" w:rsidRPr="006E606E">
        <w:rPr>
          <w:color w:val="000000" w:themeColor="text1"/>
          <w:spacing w:val="-2"/>
          <w:lang w:val="vi-VN"/>
        </w:rPr>
        <w:t xml:space="preserve">. </w:t>
      </w:r>
      <w:r w:rsidR="00E72BFA" w:rsidRPr="006E606E">
        <w:rPr>
          <w:color w:val="000000" w:themeColor="text1"/>
          <w:spacing w:val="-2"/>
          <w:lang w:val="vi-VN"/>
        </w:rPr>
        <w:t>Về cơ bản, các tổ chức đánh giá, xác nhận độc lập được thực hiện hoạt động xác nhận xanh như đã liệt kê trong Dự thảo (</w:t>
      </w:r>
      <w:r w:rsidRPr="00A41810">
        <w:rPr>
          <w:color w:val="000000" w:themeColor="text1"/>
          <w:spacing w:val="-2"/>
          <w:lang w:val="vi-VN"/>
        </w:rPr>
        <w:t>Tổ chức kiểm toán hoạt động hợp pháp tại Việt Nam theo quy định của pháp luật về kiểm toán độc lập và pháp luật khác có liên quan; Tổ chức khác (nếu có) cung cấp các dịch vụ phù hợp với yêu cầu về xác nhận dự án đầu tư thuộc danh mục phân loại xanh và theo quy định của pháp luật)</w:t>
      </w:r>
      <w:r w:rsidR="00E72BFA" w:rsidRPr="00A41810">
        <w:rPr>
          <w:color w:val="000000" w:themeColor="text1"/>
          <w:spacing w:val="-2"/>
          <w:lang w:val="vi-VN"/>
        </w:rPr>
        <w:t xml:space="preserve"> hiện đã có các giấy chứng nhận được phép hoạt động trong lĩnh vực, ngành nghề có liên quan theo quy định pháp luật</w:t>
      </w:r>
      <w:r w:rsidR="00AD3923">
        <w:rPr>
          <w:color w:val="000000" w:themeColor="text1"/>
          <w:spacing w:val="-2"/>
          <w:lang w:val="vi-VN"/>
        </w:rPr>
        <w:t xml:space="preserve"> nên sẽ không làm phát sinh thủ tục hành chính.</w:t>
      </w:r>
    </w:p>
    <w:p w14:paraId="6FCAB977" w14:textId="6D998409" w:rsidR="00AD3923" w:rsidRPr="00C411F0" w:rsidRDefault="00AD3923" w:rsidP="00AD3923">
      <w:pPr>
        <w:widowControl w:val="0"/>
        <w:tabs>
          <w:tab w:val="right" w:leader="dot" w:pos="7920"/>
        </w:tabs>
        <w:spacing w:before="100" w:line="340" w:lineRule="exact"/>
        <w:ind w:firstLine="720"/>
        <w:jc w:val="both"/>
        <w:rPr>
          <w:color w:val="000000" w:themeColor="text1"/>
          <w:lang w:val="vi-VN"/>
        </w:rPr>
      </w:pPr>
      <w:r>
        <w:rPr>
          <w:color w:val="000000" w:themeColor="text1"/>
          <w:lang w:val="vi-VN"/>
        </w:rPr>
        <w:t xml:space="preserve">Tuy nhiên, </w:t>
      </w:r>
      <w:r w:rsidRPr="00C411F0">
        <w:rPr>
          <w:color w:val="000000" w:themeColor="text1"/>
          <w:lang w:val="vi-VN"/>
        </w:rPr>
        <w:t xml:space="preserve">Phương án này </w:t>
      </w:r>
      <w:r>
        <w:rPr>
          <w:color w:val="000000" w:themeColor="text1"/>
          <w:lang w:val="vi-VN"/>
        </w:rPr>
        <w:t xml:space="preserve">sẽ </w:t>
      </w:r>
      <w:r w:rsidRPr="00C411F0">
        <w:rPr>
          <w:color w:val="000000" w:themeColor="text1"/>
          <w:lang w:val="vi-VN"/>
        </w:rPr>
        <w:t>làm phát sinh thủ tục hành chính</w:t>
      </w:r>
      <w:r>
        <w:rPr>
          <w:color w:val="000000" w:themeColor="text1"/>
          <w:lang w:val="vi-VN"/>
        </w:rPr>
        <w:t xml:space="preserve"> (TTHC) xác nhận dự án xanh đối với các dự án chuyển đổi xanh (do cơ quan quản lý nhà nước có thẩm quyền về BVMT cấp trung ương, cấp tỉnh, huyện thực hiện). Tuy nhiên, Phương án đã được xem xét để giảm thiểu tối đa số lượng đối tượng phải thực hiện TTHC (chỉ có 05 loại hình dự án, từ số 76 đến 80 thuộc Danh mục phân loại xanh bắt buộc phải thực hiện TTHC xác nhận dự án xanh)</w:t>
      </w:r>
      <w:r w:rsidRPr="00C411F0">
        <w:rPr>
          <w:color w:val="000000" w:themeColor="text1"/>
          <w:lang w:val="vi-VN"/>
        </w:rPr>
        <w:t xml:space="preserve">. </w:t>
      </w:r>
      <w:r>
        <w:rPr>
          <w:color w:val="000000" w:themeColor="text1"/>
          <w:lang w:val="vi-VN"/>
        </w:rPr>
        <w:t>Đồng thời</w:t>
      </w:r>
      <w:r w:rsidRPr="00C411F0">
        <w:rPr>
          <w:color w:val="000000" w:themeColor="text1"/>
          <w:lang w:val="vi-VN"/>
        </w:rPr>
        <w:t xml:space="preserve">, các rủi ro, hạn chế vì phát sinh TTHC </w:t>
      </w:r>
      <w:r>
        <w:rPr>
          <w:color w:val="000000" w:themeColor="text1"/>
          <w:lang w:val="vi-VN"/>
        </w:rPr>
        <w:t xml:space="preserve">cũng </w:t>
      </w:r>
      <w:r w:rsidRPr="00C411F0">
        <w:rPr>
          <w:color w:val="000000" w:themeColor="text1"/>
          <w:lang w:val="vi-VN"/>
        </w:rPr>
        <w:t>sẽ được giảm thiểu tối đa khi: i) quy định rõ ràng về thành phần hồ sơ, quy trình, trình tự tiếp nhận, thẩm định, xác nhận;</w:t>
      </w:r>
      <w:r>
        <w:rPr>
          <w:color w:val="000000" w:themeColor="text1"/>
          <w:lang w:val="vi-VN"/>
        </w:rPr>
        <w:t xml:space="preserve"> ii) đẩy mạnh việc giải quyết TTHC trên cổng dịch vụ công;</w:t>
      </w:r>
      <w:r w:rsidRPr="00C411F0">
        <w:rPr>
          <w:color w:val="000000" w:themeColor="text1"/>
          <w:lang w:val="vi-VN"/>
        </w:rPr>
        <w:t xml:space="preserve"> i</w:t>
      </w:r>
      <w:r>
        <w:rPr>
          <w:color w:val="000000" w:themeColor="text1"/>
          <w:lang w:val="vi-VN"/>
        </w:rPr>
        <w:t>i</w:t>
      </w:r>
      <w:r w:rsidRPr="00C411F0">
        <w:rPr>
          <w:color w:val="000000" w:themeColor="text1"/>
          <w:lang w:val="vi-VN"/>
        </w:rPr>
        <w:t xml:space="preserve">i) </w:t>
      </w:r>
      <w:r>
        <w:rPr>
          <w:color w:val="000000" w:themeColor="text1"/>
          <w:lang w:val="vi-VN"/>
        </w:rPr>
        <w:t xml:space="preserve">liên thông các </w:t>
      </w:r>
      <w:r w:rsidRPr="00C411F0">
        <w:rPr>
          <w:color w:val="000000" w:themeColor="text1"/>
          <w:lang w:val="vi-VN"/>
        </w:rPr>
        <w:t>TTHC (</w:t>
      </w:r>
      <w:r>
        <w:rPr>
          <w:color w:val="000000" w:themeColor="text1"/>
          <w:lang w:val="vi-VN"/>
        </w:rPr>
        <w:t>ví dụ liên thông với các TTHC về</w:t>
      </w:r>
      <w:r w:rsidRPr="00C411F0">
        <w:rPr>
          <w:color w:val="000000" w:themeColor="text1"/>
          <w:lang w:val="vi-VN"/>
        </w:rPr>
        <w:t xml:space="preserve"> thẩm định báo cáo ĐTM hoặc cấp GPMT</w:t>
      </w:r>
      <w:r>
        <w:rPr>
          <w:color w:val="000000" w:themeColor="text1"/>
          <w:lang w:val="vi-VN"/>
        </w:rPr>
        <w:t>) để</w:t>
      </w:r>
      <w:r w:rsidRPr="00C411F0">
        <w:rPr>
          <w:color w:val="000000" w:themeColor="text1"/>
          <w:lang w:val="vi-VN"/>
        </w:rPr>
        <w:t xml:space="preserve"> cải cách</w:t>
      </w:r>
      <w:r>
        <w:rPr>
          <w:color w:val="000000" w:themeColor="text1"/>
          <w:lang w:val="vi-VN"/>
        </w:rPr>
        <w:t xml:space="preserve"> TTHC và </w:t>
      </w:r>
      <w:r w:rsidRPr="00C411F0">
        <w:rPr>
          <w:color w:val="000000" w:themeColor="text1"/>
          <w:lang w:val="vi-VN"/>
        </w:rPr>
        <w:t>giảm thiểu tối đa gánh nặng TTHC cho doanh nghiệp.</w:t>
      </w:r>
    </w:p>
    <w:p w14:paraId="584F17FF" w14:textId="77777777" w:rsidR="00B003D4" w:rsidRPr="00C411F0" w:rsidRDefault="00B003D4" w:rsidP="00B003D4">
      <w:pPr>
        <w:widowControl w:val="0"/>
        <w:tabs>
          <w:tab w:val="right" w:leader="dot" w:pos="7920"/>
        </w:tabs>
        <w:spacing w:before="120" w:line="340" w:lineRule="exact"/>
        <w:ind w:firstLine="720"/>
        <w:jc w:val="both"/>
        <w:rPr>
          <w:b/>
          <w:bCs/>
          <w:i/>
          <w:iCs/>
          <w:color w:val="000000" w:themeColor="text1"/>
          <w:lang w:val="vi-VN"/>
        </w:rPr>
      </w:pPr>
      <w:r w:rsidRPr="00C411F0">
        <w:rPr>
          <w:b/>
          <w:bCs/>
          <w:i/>
          <w:iCs/>
          <w:color w:val="000000" w:themeColor="text1"/>
          <w:lang w:val="vi-VN"/>
        </w:rPr>
        <w:t>đ) Tác động đối với hệ thống pháp luật:</w:t>
      </w:r>
    </w:p>
    <w:p w14:paraId="6982D8EA" w14:textId="1172F20D" w:rsidR="00B26C37" w:rsidRDefault="00B003D4" w:rsidP="008C256C">
      <w:pPr>
        <w:widowControl w:val="0"/>
        <w:spacing w:before="120" w:line="340" w:lineRule="exact"/>
        <w:ind w:firstLine="720"/>
        <w:jc w:val="both"/>
        <w:rPr>
          <w:color w:val="000000" w:themeColor="text1"/>
          <w:lang w:val="vi-VN"/>
        </w:rPr>
      </w:pPr>
      <w:r w:rsidRPr="00C411F0">
        <w:rPr>
          <w:color w:val="000000" w:themeColor="text1"/>
          <w:lang w:val="vi-VN"/>
        </w:rPr>
        <w:t xml:space="preserve">Phương án này bảo đảm tính đồng bộ với hệ thống pháp luật </w:t>
      </w:r>
      <w:r w:rsidR="00D51809">
        <w:rPr>
          <w:color w:val="000000" w:themeColor="text1"/>
          <w:lang w:val="vi-VN"/>
        </w:rPr>
        <w:t xml:space="preserve">về bảo vệ môi trường </w:t>
      </w:r>
      <w:r w:rsidRPr="00C411F0">
        <w:rPr>
          <w:color w:val="000000" w:themeColor="text1"/>
          <w:lang w:val="vi-VN"/>
        </w:rPr>
        <w:t>(khi Nghị định 08/2022/NĐ-CP đã quy định việc này)</w:t>
      </w:r>
      <w:r w:rsidR="00D51809">
        <w:rPr>
          <w:color w:val="000000" w:themeColor="text1"/>
          <w:lang w:val="vi-VN"/>
        </w:rPr>
        <w:t xml:space="preserve"> và hệ thống pháp luật của các lĩnh vực có liên quan</w:t>
      </w:r>
      <w:r w:rsidR="00B26C37">
        <w:rPr>
          <w:color w:val="000000" w:themeColor="text1"/>
          <w:lang w:val="vi-VN"/>
        </w:rPr>
        <w:t xml:space="preserve">, </w:t>
      </w:r>
      <w:r w:rsidR="00E72BFA">
        <w:rPr>
          <w:color w:val="000000" w:themeColor="text1"/>
          <w:lang w:val="vi-VN"/>
        </w:rPr>
        <w:t>tương thích với thông lệ quốc tế</w:t>
      </w:r>
      <w:r w:rsidR="00B26C37">
        <w:rPr>
          <w:color w:val="000000" w:themeColor="text1"/>
          <w:lang w:val="vi-VN"/>
        </w:rPr>
        <w:t xml:space="preserve"> và phù hợp với điều kiện Việt Nam</w:t>
      </w:r>
      <w:r w:rsidRPr="00C411F0">
        <w:rPr>
          <w:color w:val="000000" w:themeColor="text1"/>
          <w:lang w:val="vi-VN"/>
        </w:rPr>
        <w:t xml:space="preserve">. </w:t>
      </w:r>
    </w:p>
    <w:p w14:paraId="215C295B" w14:textId="3BB53206" w:rsidR="008C256C" w:rsidRDefault="00B26C37" w:rsidP="008C256C">
      <w:pPr>
        <w:widowControl w:val="0"/>
        <w:spacing w:before="120" w:line="340" w:lineRule="exact"/>
        <w:ind w:firstLine="720"/>
        <w:jc w:val="both"/>
        <w:rPr>
          <w:color w:val="000000" w:themeColor="text1"/>
          <w:lang w:val="vi-VN"/>
        </w:rPr>
      </w:pPr>
      <w:r>
        <w:rPr>
          <w:color w:val="000000" w:themeColor="text1"/>
          <w:lang w:val="vi-VN"/>
        </w:rPr>
        <w:t>Về mặt phù hợp với chủ trương, chính sách của Đảng và Nhà nước</w:t>
      </w:r>
      <w:r w:rsidR="00927F44">
        <w:rPr>
          <w:color w:val="000000" w:themeColor="text1"/>
          <w:lang w:val="vi-VN"/>
        </w:rPr>
        <w:t>, phương án này cũng rất phù hợp với chủ trương</w:t>
      </w:r>
      <w:r>
        <w:rPr>
          <w:color w:val="000000" w:themeColor="text1"/>
          <w:lang w:val="vi-VN"/>
        </w:rPr>
        <w:t>, chính sách</w:t>
      </w:r>
      <w:r w:rsidR="00927F44">
        <w:rPr>
          <w:color w:val="000000" w:themeColor="text1"/>
          <w:lang w:val="vi-VN"/>
        </w:rPr>
        <w:t xml:space="preserve"> </w:t>
      </w:r>
      <w:r w:rsidR="008C256C">
        <w:rPr>
          <w:color w:val="000000" w:themeColor="text1"/>
          <w:lang w:val="vi-VN"/>
        </w:rPr>
        <w:t xml:space="preserve">của Đảng và Nhà nước </w:t>
      </w:r>
      <w:r w:rsidR="00D51809">
        <w:rPr>
          <w:color w:val="000000" w:themeColor="text1"/>
          <w:lang w:val="vi-VN"/>
        </w:rPr>
        <w:t xml:space="preserve">hiện nay </w:t>
      </w:r>
      <w:r>
        <w:rPr>
          <w:color w:val="000000" w:themeColor="text1"/>
          <w:lang w:val="vi-VN"/>
        </w:rPr>
        <w:t xml:space="preserve">về xã hội hoá và </w:t>
      </w:r>
      <w:r w:rsidR="008C256C">
        <w:rPr>
          <w:color w:val="000000" w:themeColor="text1"/>
          <w:lang w:val="vi-VN"/>
        </w:rPr>
        <w:t>việc tiếp tục đổi mới, sắp xếp tổ chức bộ máy của hệ thống chính trị tinh gọn, hoạt động hiệu lực, hiệu quả, cụ thể:</w:t>
      </w:r>
    </w:p>
    <w:p w14:paraId="52151714" w14:textId="530354EA" w:rsidR="008C256C" w:rsidRDefault="008C256C" w:rsidP="00A41810">
      <w:pPr>
        <w:pStyle w:val="ListParagraph"/>
        <w:widowControl w:val="0"/>
        <w:numPr>
          <w:ilvl w:val="0"/>
          <w:numId w:val="6"/>
        </w:numPr>
        <w:tabs>
          <w:tab w:val="left" w:pos="993"/>
        </w:tabs>
        <w:spacing w:before="120" w:line="340" w:lineRule="exact"/>
        <w:ind w:left="0" w:firstLine="720"/>
        <w:contextualSpacing w:val="0"/>
        <w:jc w:val="both"/>
        <w:rPr>
          <w:color w:val="000000" w:themeColor="text1"/>
          <w:lang w:val="vi-VN"/>
        </w:rPr>
      </w:pPr>
      <w:r>
        <w:rPr>
          <w:color w:val="000000" w:themeColor="text1"/>
          <w:lang w:val="vi-VN"/>
        </w:rPr>
        <w:t>T</w:t>
      </w:r>
      <w:r w:rsidRPr="00A41810">
        <w:rPr>
          <w:color w:val="000000" w:themeColor="text1"/>
          <w:lang w:val="vi-VN"/>
        </w:rPr>
        <w:t xml:space="preserve">ại </w:t>
      </w:r>
      <w:r w:rsidR="006D3217" w:rsidRPr="00A41810">
        <w:rPr>
          <w:color w:val="000000" w:themeColor="text1"/>
          <w:lang w:val="vi-VN"/>
        </w:rPr>
        <w:t xml:space="preserve">Nghị quyết số 18-NQ/TW ngày 25/10/2017, Hội nghị lần thứ sáu Ban Chấp hành Trung ương Đảng khóa XII </w:t>
      </w:r>
      <w:r w:rsidRPr="00A41810">
        <w:rPr>
          <w:color w:val="000000" w:themeColor="text1"/>
          <w:lang w:val="vi-VN"/>
        </w:rPr>
        <w:t xml:space="preserve">- </w:t>
      </w:r>
      <w:r w:rsidR="006D3217" w:rsidRPr="00A41810">
        <w:rPr>
          <w:color w:val="000000" w:themeColor="text1"/>
          <w:lang w:val="vi-VN"/>
        </w:rPr>
        <w:t xml:space="preserve">Một số vấn đề về tiếp tục đổi mới, sắp xếp tổ chức bộ máy của hệ thống chính trị tinh gọn, hoạt động hiệu lực, hiệu </w:t>
      </w:r>
      <w:r w:rsidR="006D3217" w:rsidRPr="00A41810">
        <w:rPr>
          <w:color w:val="000000" w:themeColor="text1"/>
          <w:lang w:val="vi-VN"/>
        </w:rPr>
        <w:lastRenderedPageBreak/>
        <w:t>quả</w:t>
      </w:r>
      <w:r w:rsidRPr="00A41810">
        <w:rPr>
          <w:color w:val="000000" w:themeColor="text1"/>
          <w:lang w:val="vi-VN"/>
        </w:rPr>
        <w:t xml:space="preserve">; theo đó đã giao nhiệm vụ cho các bộ, ngành, cơ quan thuộc Chính phủ </w:t>
      </w:r>
      <w:r w:rsidRPr="00A41810">
        <w:rPr>
          <w:i/>
          <w:iCs/>
          <w:color w:val="000000" w:themeColor="text1"/>
          <w:lang w:val="vi-VN"/>
        </w:rPr>
        <w:t>“Chuyển một số nhiệm vụ và dịch vụ hành chính công mà Nhà nước không nhất thiết phải thực hiện cho doanh nghiệp, các tổ chức xã hội đảm nhiệm”;</w:t>
      </w:r>
    </w:p>
    <w:p w14:paraId="150FCDD9" w14:textId="6E7EF165" w:rsidR="00927F44" w:rsidRPr="008C256C" w:rsidRDefault="008C256C" w:rsidP="00A41810">
      <w:pPr>
        <w:pStyle w:val="ListParagraph"/>
        <w:widowControl w:val="0"/>
        <w:numPr>
          <w:ilvl w:val="0"/>
          <w:numId w:val="6"/>
        </w:numPr>
        <w:tabs>
          <w:tab w:val="left" w:pos="993"/>
        </w:tabs>
        <w:spacing w:before="120" w:line="340" w:lineRule="exact"/>
        <w:ind w:left="0" w:firstLine="720"/>
        <w:contextualSpacing w:val="0"/>
        <w:jc w:val="both"/>
        <w:rPr>
          <w:color w:val="000000" w:themeColor="text1"/>
          <w:lang w:val="vi-VN"/>
        </w:rPr>
      </w:pPr>
      <w:r>
        <w:rPr>
          <w:color w:val="000000" w:themeColor="text1"/>
          <w:lang w:val="vi-VN"/>
        </w:rPr>
        <w:t xml:space="preserve">Tại </w:t>
      </w:r>
      <w:r w:rsidRPr="008C256C">
        <w:rPr>
          <w:color w:val="000000" w:themeColor="text1"/>
          <w:lang w:val="vi-VN"/>
        </w:rPr>
        <w:t>Quyết định số </w:t>
      </w:r>
      <w:hyperlink r:id="rId14" w:tgtFrame="_blank" w:tooltip="1046/QĐ-TTg" w:history="1">
        <w:r w:rsidRPr="008C256C">
          <w:rPr>
            <w:color w:val="000000" w:themeColor="text1"/>
            <w:lang w:val="vi-VN"/>
          </w:rPr>
          <w:t>1046/QĐ-TTg</w:t>
        </w:r>
      </w:hyperlink>
      <w:r w:rsidRPr="008C256C">
        <w:rPr>
          <w:color w:val="000000" w:themeColor="text1"/>
          <w:lang w:val="vi-VN"/>
        </w:rPr>
        <w:t> của Thủ tướng Chính phủ ngày 06/9/2022 ban hành Kế hoạch triển khai thực hiện Kết luận số 28-KL/TW ngày 21/2/2022 của Bộ Chính trị về tinh giản biên chế và cơ cấu lại đội ngũ cán bộ, công chức, viên chức; Kết luận số 40-KL/TW ngày 18/7/2022 của Bộ Chính trị về nâng cao hiệu quả công tác quản lý biên chế của hệ thống chính trị giai đoạn 2022 - 2026 và Quy định số 70-QĐ/TW ngày 18/7/2022 của Bộ Chính trị về quản lý biên chế của hệ thống chính trị</w:t>
      </w:r>
      <w:r>
        <w:rPr>
          <w:color w:val="000000" w:themeColor="text1"/>
          <w:lang w:val="vi-VN"/>
        </w:rPr>
        <w:t xml:space="preserve"> cũng đã xác định </w:t>
      </w:r>
      <w:r w:rsidR="00927F44" w:rsidRPr="008C256C">
        <w:rPr>
          <w:color w:val="000000" w:themeColor="text1"/>
          <w:lang w:val="vi-VN"/>
        </w:rPr>
        <w:t xml:space="preserve">nhiệm vụ </w:t>
      </w:r>
      <w:r w:rsidR="00927F44" w:rsidRPr="00A41810">
        <w:rPr>
          <w:i/>
          <w:iCs/>
          <w:color w:val="000000" w:themeColor="text1"/>
          <w:lang w:val="vi-VN"/>
        </w:rPr>
        <w:t>“</w:t>
      </w:r>
      <w:r w:rsidR="00927F44" w:rsidRPr="00A41810">
        <w:rPr>
          <w:i/>
          <w:iCs/>
          <w:lang w:val="vi-VN"/>
        </w:rPr>
        <w:t>Đẩy mạnh cung ứng dịch vụ sự nghiệp công theo cơ chế thị trường, thúc đẩy xã hội hóa trong việc cung cấp dịch vụ sự nghiệp công”</w:t>
      </w:r>
      <w:r w:rsidR="00927F44" w:rsidRPr="008C256C">
        <w:rPr>
          <w:lang w:val="vi-VN"/>
        </w:rPr>
        <w:t xml:space="preserve"> là 1 trong 6 nhiệm vụ cơ bản, chủ chốt </w:t>
      </w:r>
      <w:r>
        <w:rPr>
          <w:lang w:val="vi-VN"/>
        </w:rPr>
        <w:t>của kế hoạch.</w:t>
      </w:r>
    </w:p>
    <w:p w14:paraId="17B8D70D" w14:textId="10149351" w:rsidR="00522622" w:rsidRDefault="00B003D4" w:rsidP="00857BAB">
      <w:pPr>
        <w:widowControl w:val="0"/>
        <w:spacing w:before="120" w:line="340" w:lineRule="exact"/>
        <w:ind w:firstLine="720"/>
        <w:jc w:val="both"/>
        <w:rPr>
          <w:color w:val="000000" w:themeColor="text1"/>
          <w:lang w:val="vi-VN"/>
        </w:rPr>
      </w:pPr>
      <w:r w:rsidRPr="00A41810">
        <w:rPr>
          <w:color w:val="000000" w:themeColor="text1"/>
          <w:spacing w:val="-2"/>
          <w:lang w:val="vi-VN"/>
        </w:rPr>
        <w:t xml:space="preserve">Tuy nhiên, </w:t>
      </w:r>
      <w:r w:rsidR="00DF7D83" w:rsidRPr="00A41810">
        <w:rPr>
          <w:color w:val="000000" w:themeColor="text1"/>
          <w:spacing w:val="-2"/>
          <w:lang w:val="vi-VN"/>
        </w:rPr>
        <w:t>dự án xanh là khái niệm, xu thế mới gần đây, trong khi đó khái niệm</w:t>
      </w:r>
      <w:r w:rsidR="00E72BFA" w:rsidRPr="00A41810">
        <w:rPr>
          <w:color w:val="000000" w:themeColor="text1"/>
          <w:spacing w:val="-2"/>
          <w:lang w:val="vi-VN"/>
        </w:rPr>
        <w:t xml:space="preserve"> kiểm toá</w:t>
      </w:r>
      <w:r w:rsidR="00DF7D83" w:rsidRPr="00A41810">
        <w:rPr>
          <w:color w:val="000000" w:themeColor="text1"/>
          <w:spacing w:val="-2"/>
          <w:lang w:val="vi-VN"/>
        </w:rPr>
        <w:t xml:space="preserve">n </w:t>
      </w:r>
      <w:r w:rsidR="00E72BFA" w:rsidRPr="00A41810">
        <w:rPr>
          <w:color w:val="000000" w:themeColor="text1"/>
          <w:spacing w:val="-2"/>
          <w:lang w:val="vi-VN"/>
        </w:rPr>
        <w:t>trong các văn bản quy phạm pháp luật liên quan trước đây</w:t>
      </w:r>
      <w:r w:rsidR="00422C94" w:rsidRPr="00A41810">
        <w:rPr>
          <w:color w:val="000000" w:themeColor="text1"/>
          <w:spacing w:val="-2"/>
          <w:lang w:val="vi-VN"/>
        </w:rPr>
        <w:t xml:space="preserve"> về cơ bản </w:t>
      </w:r>
      <w:r w:rsidR="00DF7D83" w:rsidRPr="00A41810">
        <w:rPr>
          <w:color w:val="000000" w:themeColor="text1"/>
          <w:spacing w:val="-2"/>
          <w:lang w:val="vi-VN"/>
        </w:rPr>
        <w:t xml:space="preserve">chỉ </w:t>
      </w:r>
      <w:r w:rsidR="00422C94" w:rsidRPr="00A41810">
        <w:rPr>
          <w:color w:val="000000" w:themeColor="text1"/>
          <w:spacing w:val="-2"/>
          <w:lang w:val="vi-VN"/>
        </w:rPr>
        <w:t xml:space="preserve">được hiểu theo nghĩa hẹp (chỉ tập trung </w:t>
      </w:r>
      <w:r w:rsidR="00DF7D83" w:rsidRPr="00A41810">
        <w:rPr>
          <w:color w:val="000000" w:themeColor="text1"/>
          <w:spacing w:val="-2"/>
          <w:lang w:val="vi-VN"/>
        </w:rPr>
        <w:t>trong</w:t>
      </w:r>
      <w:r w:rsidR="00422C94" w:rsidRPr="00A41810">
        <w:rPr>
          <w:color w:val="000000" w:themeColor="text1"/>
          <w:spacing w:val="-2"/>
          <w:lang w:val="vi-VN"/>
        </w:rPr>
        <w:t xml:space="preserve"> lĩnh vực tài chính</w:t>
      </w:r>
      <w:r w:rsidR="00DF7D83" w:rsidRPr="00A41810">
        <w:rPr>
          <w:color w:val="000000" w:themeColor="text1"/>
          <w:spacing w:val="-2"/>
          <w:lang w:val="vi-VN"/>
        </w:rPr>
        <w:t>, kiểm toán, kế toán</w:t>
      </w:r>
      <w:r w:rsidR="00422C94" w:rsidRPr="00A41810">
        <w:rPr>
          <w:color w:val="000000" w:themeColor="text1"/>
          <w:spacing w:val="-2"/>
          <w:lang w:val="vi-VN"/>
        </w:rPr>
        <w:t>), mà</w:t>
      </w:r>
      <w:r w:rsidR="00E72BFA" w:rsidRPr="00A41810">
        <w:rPr>
          <w:color w:val="000000" w:themeColor="text1"/>
          <w:spacing w:val="-2"/>
          <w:lang w:val="vi-VN"/>
        </w:rPr>
        <w:t xml:space="preserve"> chưa tính đến</w:t>
      </w:r>
      <w:r w:rsidR="00422C94" w:rsidRPr="00A41810">
        <w:rPr>
          <w:color w:val="000000" w:themeColor="text1"/>
          <w:spacing w:val="-2"/>
          <w:lang w:val="vi-VN"/>
        </w:rPr>
        <w:t xml:space="preserve"> nhiều lĩnh vực khác nhau (như</w:t>
      </w:r>
      <w:r w:rsidR="00E72BFA" w:rsidRPr="00A41810">
        <w:rPr>
          <w:color w:val="000000" w:themeColor="text1"/>
          <w:spacing w:val="-2"/>
          <w:lang w:val="vi-VN"/>
        </w:rPr>
        <w:t xml:space="preserve"> </w:t>
      </w:r>
      <w:r w:rsidR="00422C94" w:rsidRPr="00A41810">
        <w:rPr>
          <w:color w:val="000000" w:themeColor="text1"/>
          <w:spacing w:val="-2"/>
          <w:lang w:val="vi-VN"/>
        </w:rPr>
        <w:t xml:space="preserve">môi trường, khoa học công nghệ…) do đó sẽ có những hạn chế nhất định khi xem xét </w:t>
      </w:r>
      <w:r w:rsidR="00DF7D83" w:rsidRPr="00A41810">
        <w:rPr>
          <w:color w:val="000000" w:themeColor="text1"/>
          <w:spacing w:val="-2"/>
          <w:lang w:val="vi-VN"/>
        </w:rPr>
        <w:t xml:space="preserve">trao chức năng thực hiện hoạt động xác nhận xanh cho </w:t>
      </w:r>
      <w:r w:rsidR="00422C94" w:rsidRPr="00A41810">
        <w:rPr>
          <w:color w:val="000000" w:themeColor="text1"/>
          <w:spacing w:val="-2"/>
          <w:lang w:val="vi-VN"/>
        </w:rPr>
        <w:t>các tổ chức thực hiện các dịch vụ này</w:t>
      </w:r>
      <w:r w:rsidR="00DF7D83" w:rsidRPr="00A41810">
        <w:rPr>
          <w:color w:val="000000" w:themeColor="text1"/>
          <w:spacing w:val="-2"/>
          <w:lang w:val="vi-VN"/>
        </w:rPr>
        <w:t>.</w:t>
      </w:r>
      <w:r w:rsidR="00422C94" w:rsidRPr="00A41810">
        <w:rPr>
          <w:color w:val="000000" w:themeColor="text1"/>
          <w:spacing w:val="-2"/>
          <w:lang w:val="vi-VN"/>
        </w:rPr>
        <w:t xml:space="preserve"> Tương tự điều này cũng xảy ra đối với tổ chức đánh giá sự phù hợp, vì hiện theo quy định của Nghị định 107/2016/NĐ-CP một số tổ chức đánh giá sự phù hợp sẽ bị ràng buộc, không đủ tư cách pháp lý toàn diện khi thực hiện hoạt động xác nhận xanh dù trên thực tế đáp ứng đầy đủ điều kiện về năng lực, nguồn lực.</w:t>
      </w:r>
      <w:r w:rsidR="00857BAB">
        <w:rPr>
          <w:color w:val="000000" w:themeColor="text1"/>
          <w:lang w:val="vi-VN"/>
        </w:rPr>
        <w:t xml:space="preserve"> Vì vậy</w:t>
      </w:r>
      <w:r w:rsidR="00422C94">
        <w:rPr>
          <w:color w:val="000000" w:themeColor="text1"/>
          <w:lang w:val="vi-VN"/>
        </w:rPr>
        <w:t>, đ</w:t>
      </w:r>
      <w:r w:rsidRPr="00C411F0">
        <w:rPr>
          <w:color w:val="000000" w:themeColor="text1"/>
          <w:lang w:val="vi-VN"/>
        </w:rPr>
        <w:t xml:space="preserve">ể bảo đảm </w:t>
      </w:r>
      <w:r w:rsidR="00DF7D83">
        <w:rPr>
          <w:color w:val="000000" w:themeColor="text1"/>
          <w:lang w:val="vi-VN"/>
        </w:rPr>
        <w:t>sự rõ ràng về mặt pháp luật</w:t>
      </w:r>
      <w:r w:rsidR="008C256C">
        <w:rPr>
          <w:color w:val="000000" w:themeColor="text1"/>
          <w:lang w:val="vi-VN"/>
        </w:rPr>
        <w:t xml:space="preserve"> và thể chế hoá các chủ trương của Đảng, Nhà nước </w:t>
      </w:r>
      <w:r w:rsidR="0057672D">
        <w:rPr>
          <w:color w:val="000000" w:themeColor="text1"/>
          <w:lang w:val="vi-VN"/>
        </w:rPr>
        <w:t xml:space="preserve">về xã hội hoá </w:t>
      </w:r>
      <w:r w:rsidR="008C256C">
        <w:rPr>
          <w:color w:val="000000" w:themeColor="text1"/>
          <w:lang w:val="vi-VN"/>
        </w:rPr>
        <w:t>trong giai đoạn mới</w:t>
      </w:r>
      <w:r w:rsidR="00DF7D83">
        <w:rPr>
          <w:color w:val="000000" w:themeColor="text1"/>
          <w:lang w:val="vi-VN"/>
        </w:rPr>
        <w:t xml:space="preserve">, </w:t>
      </w:r>
      <w:r w:rsidR="00422C94">
        <w:rPr>
          <w:color w:val="000000" w:themeColor="text1"/>
          <w:lang w:val="vi-VN"/>
        </w:rPr>
        <w:t xml:space="preserve">khi lựa chọn Phương án này cần xem xét </w:t>
      </w:r>
      <w:r w:rsidR="0057672D">
        <w:rPr>
          <w:color w:val="000000" w:themeColor="text1"/>
          <w:lang w:val="vi-VN"/>
        </w:rPr>
        <w:t xml:space="preserve">rà soát, </w:t>
      </w:r>
      <w:r w:rsidR="00422C94">
        <w:rPr>
          <w:color w:val="000000" w:themeColor="text1"/>
          <w:lang w:val="vi-VN"/>
        </w:rPr>
        <w:t xml:space="preserve">sửa đổi, bổ sung </w:t>
      </w:r>
      <w:r w:rsidR="0057672D">
        <w:rPr>
          <w:color w:val="000000" w:themeColor="text1"/>
          <w:lang w:val="vi-VN"/>
        </w:rPr>
        <w:t xml:space="preserve">một số </w:t>
      </w:r>
      <w:r w:rsidR="00422C94">
        <w:rPr>
          <w:color w:val="000000" w:themeColor="text1"/>
          <w:lang w:val="vi-VN"/>
        </w:rPr>
        <w:t xml:space="preserve">văn bản pháp luật có liên quan (ví dụ các Nghị định số </w:t>
      </w:r>
      <w:r w:rsidR="00DF7D83">
        <w:rPr>
          <w:color w:val="000000" w:themeColor="text1"/>
          <w:lang w:val="vi-VN"/>
        </w:rPr>
        <w:t>17</w:t>
      </w:r>
      <w:r w:rsidR="00422C94">
        <w:rPr>
          <w:color w:val="000000" w:themeColor="text1"/>
          <w:lang w:val="vi-VN"/>
        </w:rPr>
        <w:t>/201</w:t>
      </w:r>
      <w:r w:rsidR="00DF7D83">
        <w:rPr>
          <w:color w:val="000000" w:themeColor="text1"/>
          <w:lang w:val="vi-VN"/>
        </w:rPr>
        <w:t>2</w:t>
      </w:r>
      <w:r w:rsidR="00422C94">
        <w:rPr>
          <w:color w:val="000000" w:themeColor="text1"/>
          <w:lang w:val="vi-VN"/>
        </w:rPr>
        <w:t>/NĐ-CP và 107/2016/NĐ-CP</w:t>
      </w:r>
      <w:r w:rsidR="0057672D">
        <w:rPr>
          <w:color w:val="000000" w:themeColor="text1"/>
          <w:lang w:val="vi-VN"/>
        </w:rPr>
        <w:t>…</w:t>
      </w:r>
      <w:r w:rsidR="00422C94">
        <w:rPr>
          <w:color w:val="000000" w:themeColor="text1"/>
          <w:lang w:val="vi-VN"/>
        </w:rPr>
        <w:t xml:space="preserve">) để bảm đảm các tổ chức </w:t>
      </w:r>
      <w:r w:rsidR="00DF7D83">
        <w:rPr>
          <w:color w:val="000000" w:themeColor="text1"/>
          <w:lang w:val="vi-VN"/>
        </w:rPr>
        <w:t>kiểm toán</w:t>
      </w:r>
      <w:r w:rsidR="00422C94">
        <w:rPr>
          <w:color w:val="000000" w:themeColor="text1"/>
          <w:lang w:val="vi-VN"/>
        </w:rPr>
        <w:t>, đánh giá sự phù hợp có đầy đủ chức năng thực hiện các hoạt động xác nhận xanh theo quy định pháp luật</w:t>
      </w:r>
      <w:r w:rsidRPr="00C411F0">
        <w:rPr>
          <w:color w:val="000000" w:themeColor="text1"/>
          <w:lang w:val="vi-VN"/>
        </w:rPr>
        <w:t>.</w:t>
      </w:r>
      <w:r w:rsidR="00D51809">
        <w:rPr>
          <w:color w:val="000000" w:themeColor="text1"/>
          <w:lang w:val="vi-VN"/>
        </w:rPr>
        <w:t xml:space="preserve"> </w:t>
      </w:r>
    </w:p>
    <w:p w14:paraId="2909F472" w14:textId="5589C155" w:rsidR="00D51809" w:rsidRPr="00C411F0" w:rsidRDefault="00522622" w:rsidP="00522622">
      <w:pPr>
        <w:widowControl w:val="0"/>
        <w:spacing w:before="120" w:line="340" w:lineRule="exact"/>
        <w:ind w:firstLine="720"/>
        <w:jc w:val="both"/>
        <w:rPr>
          <w:color w:val="000000" w:themeColor="text1"/>
          <w:lang w:val="vi-VN"/>
        </w:rPr>
      </w:pPr>
      <w:r>
        <w:rPr>
          <w:color w:val="000000" w:themeColor="text1"/>
          <w:lang w:val="vi-VN"/>
        </w:rPr>
        <w:t>Ngoài ra</w:t>
      </w:r>
      <w:r w:rsidR="00D51809">
        <w:rPr>
          <w:color w:val="000000" w:themeColor="text1"/>
          <w:lang w:val="vi-VN"/>
        </w:rPr>
        <w:t>, đ</w:t>
      </w:r>
      <w:r w:rsidR="00D51809" w:rsidRPr="00C411F0">
        <w:rPr>
          <w:color w:val="000000" w:themeColor="text1"/>
          <w:lang w:val="vi-VN"/>
        </w:rPr>
        <w:t xml:space="preserve">ể bảo đảm tính chặt chẽ và tránh những rủi ro trên thực tế, việc xác nhận </w:t>
      </w:r>
      <w:r>
        <w:rPr>
          <w:color w:val="000000" w:themeColor="text1"/>
          <w:lang w:val="vi-VN"/>
        </w:rPr>
        <w:t xml:space="preserve">dự án xanh </w:t>
      </w:r>
      <w:r w:rsidR="00D51809" w:rsidRPr="00C411F0">
        <w:rPr>
          <w:color w:val="000000" w:themeColor="text1"/>
          <w:lang w:val="vi-VN"/>
        </w:rPr>
        <w:t xml:space="preserve">cần đi đôi với kiểm tra, giám sát (hậu kiểm) và xử lý vi phạm (nếu có). </w:t>
      </w:r>
      <w:r>
        <w:rPr>
          <w:color w:val="000000" w:themeColor="text1"/>
          <w:lang w:val="vi-VN"/>
        </w:rPr>
        <w:t>D</w:t>
      </w:r>
      <w:r w:rsidR="00D51809" w:rsidRPr="00C411F0">
        <w:rPr>
          <w:color w:val="000000" w:themeColor="text1"/>
          <w:lang w:val="vi-VN"/>
        </w:rPr>
        <w:t xml:space="preserve">o đó, </w:t>
      </w:r>
      <w:r>
        <w:rPr>
          <w:color w:val="000000" w:themeColor="text1"/>
          <w:lang w:val="vi-VN"/>
        </w:rPr>
        <w:t>nên</w:t>
      </w:r>
      <w:r w:rsidR="00D51809">
        <w:rPr>
          <w:color w:val="000000" w:themeColor="text1"/>
          <w:lang w:val="vi-VN"/>
        </w:rPr>
        <w:t xml:space="preserve"> </w:t>
      </w:r>
      <w:r w:rsidR="00D51809" w:rsidRPr="00C411F0">
        <w:rPr>
          <w:color w:val="000000" w:themeColor="text1"/>
          <w:lang w:val="vi-VN"/>
        </w:rPr>
        <w:t xml:space="preserve">xem xét, bổ sung </w:t>
      </w:r>
      <w:r w:rsidR="0057672D">
        <w:rPr>
          <w:color w:val="000000" w:themeColor="text1"/>
          <w:lang w:val="vi-VN"/>
        </w:rPr>
        <w:t xml:space="preserve">nội dung này trong </w:t>
      </w:r>
      <w:r w:rsidR="00D51809" w:rsidRPr="00C411F0">
        <w:rPr>
          <w:color w:val="000000" w:themeColor="text1"/>
          <w:lang w:val="vi-VN"/>
        </w:rPr>
        <w:t xml:space="preserve">các quy định pháp luật </w:t>
      </w:r>
      <w:r>
        <w:rPr>
          <w:color w:val="000000" w:themeColor="text1"/>
          <w:lang w:val="vi-VN"/>
        </w:rPr>
        <w:t xml:space="preserve">trong lĩnh vực bảo vệ môi trường và các lĩnh vực có liên quan </w:t>
      </w:r>
      <w:r w:rsidR="00D51809" w:rsidRPr="00C411F0">
        <w:rPr>
          <w:color w:val="000000" w:themeColor="text1"/>
          <w:lang w:val="vi-VN"/>
        </w:rPr>
        <w:t xml:space="preserve">để </w:t>
      </w:r>
      <w:r w:rsidR="00D51809">
        <w:rPr>
          <w:color w:val="000000" w:themeColor="text1"/>
          <w:lang w:val="vi-VN"/>
        </w:rPr>
        <w:t>bảo đảm tính hoàn thiện, đầy đủ.</w:t>
      </w:r>
    </w:p>
    <w:p w14:paraId="475DA943" w14:textId="6B050B9E" w:rsidR="00831078" w:rsidRPr="009605FD" w:rsidRDefault="00831078" w:rsidP="00CF2FF8">
      <w:pPr>
        <w:widowControl w:val="0"/>
        <w:tabs>
          <w:tab w:val="right" w:leader="dot" w:pos="7920"/>
        </w:tabs>
        <w:spacing w:before="180" w:line="380" w:lineRule="exact"/>
        <w:ind w:firstLine="454"/>
        <w:jc w:val="both"/>
        <w:rPr>
          <w:color w:val="000000" w:themeColor="text1"/>
          <w:lang w:val="vi-VN"/>
        </w:rPr>
      </w:pPr>
      <w:r w:rsidRPr="009605FD">
        <w:rPr>
          <w:b/>
          <w:bCs/>
          <w:color w:val="000000" w:themeColor="text1"/>
          <w:lang w:val="vi-VN"/>
        </w:rPr>
        <w:t>2.5. Kiến nghị giải pháp lựa chọn</w:t>
      </w:r>
      <w:r w:rsidRPr="009605FD">
        <w:rPr>
          <w:color w:val="000000" w:themeColor="text1"/>
          <w:lang w:val="vi-VN"/>
        </w:rPr>
        <w:t xml:space="preserve"> </w:t>
      </w:r>
    </w:p>
    <w:p w14:paraId="6F333A44" w14:textId="6F3DA6AE" w:rsidR="00831078" w:rsidRDefault="00831078" w:rsidP="007C3B35">
      <w:pPr>
        <w:widowControl w:val="0"/>
        <w:tabs>
          <w:tab w:val="right" w:leader="dot" w:pos="7920"/>
        </w:tabs>
        <w:spacing w:before="120" w:after="120" w:line="376" w:lineRule="exact"/>
        <w:ind w:firstLine="720"/>
        <w:jc w:val="both"/>
        <w:rPr>
          <w:color w:val="000000" w:themeColor="text1"/>
          <w:lang w:val="vi-VN"/>
        </w:rPr>
      </w:pPr>
      <w:r w:rsidRPr="00C411F0">
        <w:rPr>
          <w:color w:val="000000" w:themeColor="text1"/>
          <w:lang w:val="vi-VN"/>
        </w:rPr>
        <w:t>Trên cơ sở các phân tích, đánh giá về lợi ích, chi phí của từng phương án đối với các khía cạnh về kinh tế, xã hội, giới, thủ tục hành chính và tính đồng bộ của hệ thống pháp luật như đã trình bày trên, có thể tổng hợp kết quả đánh giá tác động chính sách đối với 0</w:t>
      </w:r>
      <w:r w:rsidR="00522622">
        <w:rPr>
          <w:color w:val="000000" w:themeColor="text1"/>
          <w:lang w:val="vi-VN"/>
        </w:rPr>
        <w:t>2</w:t>
      </w:r>
      <w:r w:rsidRPr="00C411F0">
        <w:rPr>
          <w:color w:val="000000" w:themeColor="text1"/>
          <w:lang w:val="vi-VN"/>
        </w:rPr>
        <w:t xml:space="preserve"> Phương án đề xuất bằng điểm số như trong </w:t>
      </w:r>
      <w:r w:rsidR="007C3B35" w:rsidRPr="00C411F0">
        <w:rPr>
          <w:color w:val="000000" w:themeColor="text1"/>
          <w:lang w:val="vi-VN"/>
        </w:rPr>
        <w:t>B</w:t>
      </w:r>
      <w:r w:rsidRPr="00C411F0">
        <w:rPr>
          <w:color w:val="000000" w:themeColor="text1"/>
          <w:lang w:val="vi-VN"/>
        </w:rPr>
        <w:t xml:space="preserve">ảng </w:t>
      </w:r>
      <w:r w:rsidR="007C3B35" w:rsidRPr="00C411F0">
        <w:rPr>
          <w:color w:val="000000" w:themeColor="text1"/>
          <w:lang w:val="vi-VN"/>
        </w:rPr>
        <w:t xml:space="preserve">3 </w:t>
      </w:r>
      <w:r w:rsidRPr="00C411F0">
        <w:rPr>
          <w:color w:val="000000" w:themeColor="text1"/>
          <w:lang w:val="vi-VN"/>
        </w:rPr>
        <w:t>(thang điểm 0-5):</w:t>
      </w:r>
    </w:p>
    <w:p w14:paraId="1A9E905B" w14:textId="0DE4CD14" w:rsidR="007C3B35" w:rsidRDefault="007C3B35" w:rsidP="007C3B35">
      <w:pPr>
        <w:widowControl w:val="0"/>
        <w:tabs>
          <w:tab w:val="right" w:leader="dot" w:pos="7920"/>
        </w:tabs>
        <w:spacing w:before="120" w:after="120" w:line="376" w:lineRule="exact"/>
        <w:jc w:val="center"/>
        <w:rPr>
          <w:i/>
          <w:iCs/>
          <w:color w:val="000000" w:themeColor="text1"/>
          <w:lang w:val="vi-VN"/>
        </w:rPr>
      </w:pPr>
      <w:r w:rsidRPr="00C411F0">
        <w:rPr>
          <w:i/>
          <w:iCs/>
          <w:color w:val="000000" w:themeColor="text1"/>
          <w:lang w:val="vi-VN"/>
        </w:rPr>
        <w:lastRenderedPageBreak/>
        <w:t xml:space="preserve">Bảng </w:t>
      </w:r>
      <w:r w:rsidR="00A94C0E">
        <w:rPr>
          <w:i/>
          <w:iCs/>
          <w:color w:val="000000" w:themeColor="text1"/>
          <w:lang w:val="vi-VN"/>
        </w:rPr>
        <w:t>2</w:t>
      </w:r>
      <w:r w:rsidRPr="00C411F0">
        <w:rPr>
          <w:i/>
          <w:iCs/>
          <w:color w:val="000000" w:themeColor="text1"/>
          <w:lang w:val="vi-VN"/>
        </w:rPr>
        <w:t xml:space="preserve">. So sánh các phương án đề xuất đối với Chính sách Xác nhận </w:t>
      </w:r>
      <w:r w:rsidR="007A47A2">
        <w:rPr>
          <w:i/>
          <w:iCs/>
          <w:color w:val="000000" w:themeColor="text1"/>
          <w:lang w:val="vi-VN"/>
        </w:rPr>
        <w:br/>
      </w:r>
      <w:r w:rsidRPr="00C411F0">
        <w:rPr>
          <w:i/>
          <w:iCs/>
          <w:color w:val="000000" w:themeColor="text1"/>
          <w:lang w:val="vi-VN"/>
        </w:rPr>
        <w:t>dự án</w:t>
      </w:r>
      <w:r w:rsidR="007A47A2">
        <w:rPr>
          <w:i/>
          <w:iCs/>
          <w:color w:val="000000" w:themeColor="text1"/>
          <w:lang w:val="vi-VN"/>
        </w:rPr>
        <w:t xml:space="preserve"> xanh </w:t>
      </w:r>
      <w:r w:rsidRPr="00C411F0">
        <w:rPr>
          <w:i/>
          <w:iCs/>
          <w:color w:val="000000" w:themeColor="text1"/>
          <w:lang w:val="vi-VN"/>
        </w:rPr>
        <w:t>thuộc Danh mục phân loại xanh</w:t>
      </w:r>
    </w:p>
    <w:tbl>
      <w:tblPr>
        <w:tblStyle w:val="TableGrid"/>
        <w:tblW w:w="5000" w:type="pct"/>
        <w:tblLook w:val="04A0" w:firstRow="1" w:lastRow="0" w:firstColumn="1" w:lastColumn="0" w:noHBand="0" w:noVBand="1"/>
      </w:tblPr>
      <w:tblGrid>
        <w:gridCol w:w="2770"/>
        <w:gridCol w:w="1572"/>
        <w:gridCol w:w="1572"/>
        <w:gridCol w:w="1570"/>
        <w:gridCol w:w="1572"/>
      </w:tblGrid>
      <w:tr w:rsidR="00522622" w:rsidRPr="00962513" w14:paraId="49678881" w14:textId="77777777" w:rsidTr="007054F5">
        <w:trPr>
          <w:tblHeader/>
        </w:trPr>
        <w:tc>
          <w:tcPr>
            <w:tcW w:w="1529" w:type="pct"/>
            <w:vMerge w:val="restart"/>
            <w:shd w:val="clear" w:color="auto" w:fill="F2F2F2" w:themeFill="background1" w:themeFillShade="F2"/>
          </w:tcPr>
          <w:p w14:paraId="48F6C975" w14:textId="77777777" w:rsidR="00522622" w:rsidRPr="00A41810" w:rsidRDefault="00522622" w:rsidP="007054F5">
            <w:pPr>
              <w:widowControl w:val="0"/>
              <w:tabs>
                <w:tab w:val="right" w:leader="dot" w:pos="7920"/>
              </w:tabs>
              <w:rPr>
                <w:b/>
                <w:bCs/>
                <w:sz w:val="26"/>
                <w:szCs w:val="26"/>
                <w:lang w:val="vi-VN"/>
              </w:rPr>
            </w:pPr>
            <w:bookmarkStart w:id="4" w:name="OLE_LINK2"/>
            <w:r w:rsidRPr="00A41810">
              <w:rPr>
                <w:b/>
                <w:bCs/>
                <w:sz w:val="26"/>
                <w:szCs w:val="26"/>
                <w:lang w:val="vi-VN"/>
              </w:rPr>
              <w:t>Lĩnh vực/</w:t>
            </w:r>
            <w:r w:rsidRPr="00A41810">
              <w:rPr>
                <w:b/>
                <w:bCs/>
                <w:sz w:val="26"/>
                <w:szCs w:val="26"/>
                <w:lang w:val="vi-VN"/>
              </w:rPr>
              <w:br/>
              <w:t>đối tượng chịu tác động</w:t>
            </w:r>
          </w:p>
        </w:tc>
        <w:tc>
          <w:tcPr>
            <w:tcW w:w="1736" w:type="pct"/>
            <w:gridSpan w:val="2"/>
            <w:shd w:val="clear" w:color="auto" w:fill="F2F2F2" w:themeFill="background1" w:themeFillShade="F2"/>
          </w:tcPr>
          <w:p w14:paraId="3E9B6A57" w14:textId="59A6ADC9" w:rsidR="00522622" w:rsidRPr="00A41810" w:rsidRDefault="00522622" w:rsidP="007054F5">
            <w:pPr>
              <w:widowControl w:val="0"/>
              <w:tabs>
                <w:tab w:val="right" w:leader="dot" w:pos="7920"/>
              </w:tabs>
              <w:jc w:val="both"/>
              <w:rPr>
                <w:b/>
                <w:bCs/>
                <w:sz w:val="26"/>
                <w:szCs w:val="26"/>
                <w:lang w:val="vi-VN"/>
              </w:rPr>
            </w:pPr>
            <w:r w:rsidRPr="00A41810">
              <w:rPr>
                <w:b/>
                <w:bCs/>
                <w:sz w:val="26"/>
                <w:szCs w:val="26"/>
                <w:lang w:val="vi-VN"/>
              </w:rPr>
              <w:t>PA</w:t>
            </w:r>
            <w:r>
              <w:rPr>
                <w:b/>
                <w:bCs/>
                <w:sz w:val="26"/>
                <w:szCs w:val="26"/>
                <w:lang w:val="vi-VN"/>
              </w:rPr>
              <w:t>0</w:t>
            </w:r>
            <w:r w:rsidRPr="00A41810">
              <w:rPr>
                <w:b/>
                <w:bCs/>
                <w:sz w:val="26"/>
                <w:szCs w:val="26"/>
                <w:lang w:val="vi-VN"/>
              </w:rPr>
              <w:t xml:space="preserve"> (Giữ nguyên hiện hành, không quy định việc xác nhận)</w:t>
            </w:r>
          </w:p>
        </w:tc>
        <w:tc>
          <w:tcPr>
            <w:tcW w:w="1735" w:type="pct"/>
            <w:gridSpan w:val="2"/>
            <w:shd w:val="clear" w:color="auto" w:fill="F2F2F2" w:themeFill="background1" w:themeFillShade="F2"/>
          </w:tcPr>
          <w:p w14:paraId="6B4B6777" w14:textId="176AECAD" w:rsidR="00522622" w:rsidRPr="00A41810" w:rsidRDefault="00522622" w:rsidP="007054F5">
            <w:pPr>
              <w:widowControl w:val="0"/>
              <w:tabs>
                <w:tab w:val="right" w:leader="dot" w:pos="7920"/>
              </w:tabs>
              <w:jc w:val="both"/>
              <w:rPr>
                <w:b/>
                <w:bCs/>
                <w:sz w:val="26"/>
                <w:szCs w:val="26"/>
                <w:lang w:val="vi-VN"/>
              </w:rPr>
            </w:pPr>
            <w:r w:rsidRPr="00A41810">
              <w:rPr>
                <w:b/>
                <w:bCs/>
                <w:sz w:val="26"/>
                <w:szCs w:val="26"/>
                <w:lang w:val="vi-VN"/>
              </w:rPr>
              <w:t>PA</w:t>
            </w:r>
            <w:r>
              <w:rPr>
                <w:b/>
                <w:bCs/>
                <w:sz w:val="26"/>
                <w:szCs w:val="26"/>
                <w:lang w:val="vi-VN"/>
              </w:rPr>
              <w:t>1</w:t>
            </w:r>
            <w:r w:rsidRPr="00A41810">
              <w:rPr>
                <w:b/>
                <w:bCs/>
                <w:sz w:val="26"/>
                <w:szCs w:val="26"/>
                <w:lang w:val="vi-VN"/>
              </w:rPr>
              <w:t xml:space="preserve"> (</w:t>
            </w:r>
            <w:r>
              <w:rPr>
                <w:b/>
                <w:bCs/>
                <w:sz w:val="26"/>
                <w:szCs w:val="26"/>
                <w:lang w:val="vi-VN"/>
              </w:rPr>
              <w:t>Quy định việc xác nhận như Dự thảo Quyết định</w:t>
            </w:r>
            <w:r w:rsidRPr="00A41810">
              <w:rPr>
                <w:b/>
                <w:bCs/>
                <w:sz w:val="26"/>
                <w:szCs w:val="26"/>
                <w:lang w:val="vi-VN"/>
              </w:rPr>
              <w:t>)</w:t>
            </w:r>
          </w:p>
        </w:tc>
      </w:tr>
      <w:tr w:rsidR="00522622" w:rsidRPr="00962513" w14:paraId="7A9267F4" w14:textId="77777777" w:rsidTr="007054F5">
        <w:trPr>
          <w:tblHeader/>
        </w:trPr>
        <w:tc>
          <w:tcPr>
            <w:tcW w:w="1529" w:type="pct"/>
            <w:vMerge/>
            <w:shd w:val="clear" w:color="auto" w:fill="F2F2F2" w:themeFill="background1" w:themeFillShade="F2"/>
          </w:tcPr>
          <w:p w14:paraId="23EC9C2D" w14:textId="77777777" w:rsidR="00522622" w:rsidRPr="00A41810" w:rsidRDefault="00522622" w:rsidP="007054F5">
            <w:pPr>
              <w:widowControl w:val="0"/>
              <w:tabs>
                <w:tab w:val="right" w:leader="dot" w:pos="7920"/>
              </w:tabs>
              <w:jc w:val="both"/>
              <w:rPr>
                <w:b/>
                <w:bCs/>
                <w:sz w:val="26"/>
                <w:szCs w:val="26"/>
                <w:lang w:val="vi-VN"/>
              </w:rPr>
            </w:pPr>
          </w:p>
        </w:tc>
        <w:tc>
          <w:tcPr>
            <w:tcW w:w="868" w:type="pct"/>
            <w:shd w:val="clear" w:color="auto" w:fill="F2F2F2" w:themeFill="background1" w:themeFillShade="F2"/>
          </w:tcPr>
          <w:p w14:paraId="47301F9F" w14:textId="77777777" w:rsidR="00522622" w:rsidRPr="00A41810" w:rsidRDefault="00522622" w:rsidP="007054F5">
            <w:pPr>
              <w:widowControl w:val="0"/>
              <w:tabs>
                <w:tab w:val="right" w:leader="dot" w:pos="7920"/>
              </w:tabs>
              <w:jc w:val="center"/>
              <w:rPr>
                <w:b/>
                <w:bCs/>
                <w:sz w:val="26"/>
                <w:szCs w:val="26"/>
                <w:lang w:val="vi-VN"/>
              </w:rPr>
            </w:pPr>
            <w:r w:rsidRPr="00A41810">
              <w:rPr>
                <w:b/>
                <w:bCs/>
                <w:sz w:val="26"/>
                <w:szCs w:val="26"/>
                <w:lang w:val="vi-VN"/>
              </w:rPr>
              <w:t xml:space="preserve">Tích cực </w:t>
            </w:r>
            <w:r w:rsidRPr="00A41810">
              <w:rPr>
                <w:b/>
                <w:bCs/>
                <w:sz w:val="26"/>
                <w:szCs w:val="26"/>
                <w:lang w:val="vi-VN"/>
              </w:rPr>
              <w:br/>
              <w:t>(lợi ích)</w:t>
            </w:r>
          </w:p>
        </w:tc>
        <w:tc>
          <w:tcPr>
            <w:tcW w:w="868" w:type="pct"/>
            <w:shd w:val="clear" w:color="auto" w:fill="F2F2F2" w:themeFill="background1" w:themeFillShade="F2"/>
          </w:tcPr>
          <w:p w14:paraId="1C39F639" w14:textId="77777777" w:rsidR="00522622" w:rsidRPr="00A41810" w:rsidRDefault="00522622" w:rsidP="007054F5">
            <w:pPr>
              <w:widowControl w:val="0"/>
              <w:tabs>
                <w:tab w:val="right" w:leader="dot" w:pos="7920"/>
              </w:tabs>
              <w:jc w:val="center"/>
              <w:rPr>
                <w:b/>
                <w:bCs/>
                <w:sz w:val="26"/>
                <w:szCs w:val="26"/>
                <w:lang w:val="vi-VN"/>
              </w:rPr>
            </w:pPr>
            <w:r w:rsidRPr="00A41810">
              <w:rPr>
                <w:b/>
                <w:bCs/>
                <w:sz w:val="26"/>
                <w:szCs w:val="26"/>
                <w:lang w:val="vi-VN"/>
              </w:rPr>
              <w:t xml:space="preserve">Tiêu cực </w:t>
            </w:r>
            <w:r w:rsidRPr="00A41810">
              <w:rPr>
                <w:b/>
                <w:bCs/>
                <w:sz w:val="26"/>
                <w:szCs w:val="26"/>
                <w:lang w:val="vi-VN"/>
              </w:rPr>
              <w:br/>
              <w:t>(chi phí)</w:t>
            </w:r>
          </w:p>
        </w:tc>
        <w:tc>
          <w:tcPr>
            <w:tcW w:w="867" w:type="pct"/>
            <w:shd w:val="clear" w:color="auto" w:fill="F2F2F2" w:themeFill="background1" w:themeFillShade="F2"/>
          </w:tcPr>
          <w:p w14:paraId="76A7ABEA" w14:textId="77777777" w:rsidR="00522622" w:rsidRPr="00A41810" w:rsidRDefault="00522622" w:rsidP="007054F5">
            <w:pPr>
              <w:widowControl w:val="0"/>
              <w:tabs>
                <w:tab w:val="right" w:leader="dot" w:pos="7920"/>
              </w:tabs>
              <w:jc w:val="center"/>
              <w:rPr>
                <w:b/>
                <w:bCs/>
                <w:sz w:val="26"/>
                <w:szCs w:val="26"/>
                <w:lang w:val="vi-VN"/>
              </w:rPr>
            </w:pPr>
            <w:r w:rsidRPr="00A41810">
              <w:rPr>
                <w:b/>
                <w:bCs/>
                <w:sz w:val="26"/>
                <w:szCs w:val="26"/>
                <w:lang w:val="vi-VN"/>
              </w:rPr>
              <w:t xml:space="preserve">Tích cực </w:t>
            </w:r>
            <w:r w:rsidRPr="00A41810">
              <w:rPr>
                <w:b/>
                <w:bCs/>
                <w:sz w:val="26"/>
                <w:szCs w:val="26"/>
                <w:lang w:val="vi-VN"/>
              </w:rPr>
              <w:br/>
              <w:t>(lợi ích)</w:t>
            </w:r>
          </w:p>
        </w:tc>
        <w:tc>
          <w:tcPr>
            <w:tcW w:w="867" w:type="pct"/>
            <w:shd w:val="clear" w:color="auto" w:fill="F2F2F2" w:themeFill="background1" w:themeFillShade="F2"/>
          </w:tcPr>
          <w:p w14:paraId="197B2D97" w14:textId="77777777" w:rsidR="00522622" w:rsidRPr="00A41810" w:rsidRDefault="00522622" w:rsidP="007054F5">
            <w:pPr>
              <w:widowControl w:val="0"/>
              <w:tabs>
                <w:tab w:val="right" w:leader="dot" w:pos="7920"/>
              </w:tabs>
              <w:jc w:val="center"/>
              <w:rPr>
                <w:b/>
                <w:bCs/>
                <w:sz w:val="26"/>
                <w:szCs w:val="26"/>
                <w:lang w:val="vi-VN"/>
              </w:rPr>
            </w:pPr>
            <w:r w:rsidRPr="00A41810">
              <w:rPr>
                <w:b/>
                <w:bCs/>
                <w:sz w:val="26"/>
                <w:szCs w:val="26"/>
                <w:lang w:val="vi-VN"/>
              </w:rPr>
              <w:t xml:space="preserve">Tiêu cực </w:t>
            </w:r>
            <w:r w:rsidRPr="00A41810">
              <w:rPr>
                <w:b/>
                <w:bCs/>
                <w:sz w:val="26"/>
                <w:szCs w:val="26"/>
                <w:lang w:val="vi-VN"/>
              </w:rPr>
              <w:br/>
              <w:t>(chi phí)</w:t>
            </w:r>
          </w:p>
        </w:tc>
      </w:tr>
      <w:tr w:rsidR="00522622" w14:paraId="76C9006C" w14:textId="77777777" w:rsidTr="007054F5">
        <w:tc>
          <w:tcPr>
            <w:tcW w:w="1529" w:type="pct"/>
          </w:tcPr>
          <w:p w14:paraId="480EF2DE" w14:textId="77777777" w:rsidR="00522622" w:rsidRPr="004B1523" w:rsidRDefault="00522622" w:rsidP="007054F5">
            <w:pPr>
              <w:widowControl w:val="0"/>
              <w:tabs>
                <w:tab w:val="right" w:leader="dot" w:pos="7920"/>
              </w:tabs>
              <w:jc w:val="both"/>
              <w:rPr>
                <w:b/>
                <w:bCs/>
                <w:i/>
                <w:iCs/>
                <w:lang w:val="vi-VN"/>
              </w:rPr>
            </w:pPr>
            <w:r w:rsidRPr="004B1523">
              <w:rPr>
                <w:b/>
                <w:bCs/>
                <w:i/>
                <w:iCs/>
                <w:lang w:val="vi-VN"/>
              </w:rPr>
              <w:t>Tác động kinh tế</w:t>
            </w:r>
          </w:p>
        </w:tc>
        <w:tc>
          <w:tcPr>
            <w:tcW w:w="868" w:type="pct"/>
          </w:tcPr>
          <w:p w14:paraId="00881947" w14:textId="77777777" w:rsidR="00522622" w:rsidRPr="00A72F2E" w:rsidRDefault="00522622" w:rsidP="007054F5">
            <w:pPr>
              <w:widowControl w:val="0"/>
              <w:tabs>
                <w:tab w:val="right" w:leader="dot" w:pos="7920"/>
              </w:tabs>
              <w:jc w:val="center"/>
              <w:rPr>
                <w:b/>
                <w:bCs/>
                <w:lang w:val="vi-VN"/>
              </w:rPr>
            </w:pPr>
            <w:r w:rsidRPr="00A72F2E">
              <w:rPr>
                <w:b/>
                <w:bCs/>
                <w:lang w:val="vi-VN"/>
              </w:rPr>
              <w:t>+</w:t>
            </w:r>
            <w:r>
              <w:rPr>
                <w:b/>
                <w:bCs/>
                <w:lang w:val="vi-VN"/>
              </w:rPr>
              <w:t>3</w:t>
            </w:r>
          </w:p>
        </w:tc>
        <w:tc>
          <w:tcPr>
            <w:tcW w:w="868" w:type="pct"/>
          </w:tcPr>
          <w:p w14:paraId="003E581E" w14:textId="77777777" w:rsidR="00522622" w:rsidRPr="00A72F2E" w:rsidRDefault="00522622" w:rsidP="007054F5">
            <w:pPr>
              <w:widowControl w:val="0"/>
              <w:tabs>
                <w:tab w:val="right" w:leader="dot" w:pos="7920"/>
              </w:tabs>
              <w:jc w:val="center"/>
              <w:rPr>
                <w:b/>
                <w:bCs/>
                <w:lang w:val="vi-VN"/>
              </w:rPr>
            </w:pPr>
            <w:r w:rsidRPr="00A72F2E">
              <w:rPr>
                <w:b/>
                <w:bCs/>
                <w:lang w:val="vi-VN"/>
              </w:rPr>
              <w:t>-1</w:t>
            </w:r>
            <w:r>
              <w:rPr>
                <w:b/>
                <w:bCs/>
                <w:lang w:val="vi-VN"/>
              </w:rPr>
              <w:t>0</w:t>
            </w:r>
          </w:p>
        </w:tc>
        <w:tc>
          <w:tcPr>
            <w:tcW w:w="867" w:type="pct"/>
          </w:tcPr>
          <w:p w14:paraId="72C72786" w14:textId="7C065520" w:rsidR="00522622" w:rsidRPr="00A72F2E" w:rsidRDefault="00522622" w:rsidP="007054F5">
            <w:pPr>
              <w:widowControl w:val="0"/>
              <w:tabs>
                <w:tab w:val="right" w:leader="dot" w:pos="7920"/>
              </w:tabs>
              <w:jc w:val="center"/>
              <w:rPr>
                <w:b/>
                <w:bCs/>
                <w:lang w:val="vi-VN"/>
              </w:rPr>
            </w:pPr>
            <w:r w:rsidRPr="00A72F2E">
              <w:rPr>
                <w:b/>
                <w:bCs/>
                <w:lang w:val="vi-VN"/>
              </w:rPr>
              <w:t>+</w:t>
            </w:r>
            <w:r w:rsidR="0057672D">
              <w:rPr>
                <w:b/>
                <w:bCs/>
                <w:lang w:val="vi-VN"/>
              </w:rPr>
              <w:t>11</w:t>
            </w:r>
          </w:p>
        </w:tc>
        <w:tc>
          <w:tcPr>
            <w:tcW w:w="867" w:type="pct"/>
            <w:shd w:val="clear" w:color="auto" w:fill="FFFFFF" w:themeFill="background1"/>
          </w:tcPr>
          <w:p w14:paraId="5D4446F6" w14:textId="77777777" w:rsidR="00522622" w:rsidRPr="00A72F2E" w:rsidRDefault="00522622" w:rsidP="007054F5">
            <w:pPr>
              <w:widowControl w:val="0"/>
              <w:tabs>
                <w:tab w:val="right" w:leader="dot" w:pos="7920"/>
              </w:tabs>
              <w:jc w:val="center"/>
              <w:rPr>
                <w:b/>
                <w:bCs/>
                <w:lang w:val="vi-VN"/>
              </w:rPr>
            </w:pPr>
            <w:r w:rsidRPr="00A72F2E">
              <w:rPr>
                <w:b/>
                <w:bCs/>
                <w:lang w:val="vi-VN"/>
              </w:rPr>
              <w:t>-</w:t>
            </w:r>
            <w:r>
              <w:rPr>
                <w:b/>
                <w:bCs/>
                <w:lang w:val="vi-VN"/>
              </w:rPr>
              <w:t>2</w:t>
            </w:r>
          </w:p>
        </w:tc>
      </w:tr>
      <w:tr w:rsidR="00522622" w14:paraId="60839C07" w14:textId="77777777" w:rsidTr="007054F5">
        <w:tc>
          <w:tcPr>
            <w:tcW w:w="1529" w:type="pct"/>
          </w:tcPr>
          <w:p w14:paraId="18221657" w14:textId="77777777" w:rsidR="00522622" w:rsidRDefault="00522622" w:rsidP="007054F5">
            <w:pPr>
              <w:widowControl w:val="0"/>
              <w:tabs>
                <w:tab w:val="right" w:leader="dot" w:pos="7920"/>
              </w:tabs>
              <w:jc w:val="both"/>
              <w:rPr>
                <w:lang w:val="vi-VN"/>
              </w:rPr>
            </w:pPr>
            <w:r>
              <w:rPr>
                <w:lang w:val="vi-VN"/>
              </w:rPr>
              <w:t>Nhà nước</w:t>
            </w:r>
          </w:p>
        </w:tc>
        <w:tc>
          <w:tcPr>
            <w:tcW w:w="868" w:type="pct"/>
            <w:shd w:val="clear" w:color="auto" w:fill="C5E0B3" w:themeFill="accent6" w:themeFillTint="66"/>
          </w:tcPr>
          <w:p w14:paraId="6EBFB8AE" w14:textId="77777777" w:rsidR="00522622" w:rsidRDefault="00522622" w:rsidP="007054F5">
            <w:pPr>
              <w:widowControl w:val="0"/>
              <w:tabs>
                <w:tab w:val="right" w:leader="dot" w:pos="7920"/>
              </w:tabs>
              <w:jc w:val="center"/>
              <w:rPr>
                <w:lang w:val="vi-VN"/>
              </w:rPr>
            </w:pPr>
            <w:r>
              <w:rPr>
                <w:lang w:val="vi-VN"/>
              </w:rPr>
              <w:t>+1</w:t>
            </w:r>
          </w:p>
        </w:tc>
        <w:tc>
          <w:tcPr>
            <w:tcW w:w="868" w:type="pct"/>
            <w:shd w:val="clear" w:color="auto" w:fill="ED7D31" w:themeFill="accent2"/>
          </w:tcPr>
          <w:p w14:paraId="4C1CEA70" w14:textId="77777777" w:rsidR="00522622" w:rsidRDefault="00522622" w:rsidP="007054F5">
            <w:pPr>
              <w:widowControl w:val="0"/>
              <w:tabs>
                <w:tab w:val="right" w:leader="dot" w:pos="7920"/>
              </w:tabs>
              <w:jc w:val="center"/>
              <w:rPr>
                <w:lang w:val="vi-VN"/>
              </w:rPr>
            </w:pPr>
            <w:r>
              <w:rPr>
                <w:lang w:val="vi-VN"/>
              </w:rPr>
              <w:t>-4</w:t>
            </w:r>
          </w:p>
        </w:tc>
        <w:tc>
          <w:tcPr>
            <w:tcW w:w="867" w:type="pct"/>
            <w:shd w:val="clear" w:color="auto" w:fill="00B050"/>
          </w:tcPr>
          <w:p w14:paraId="0C5AB504" w14:textId="19FCBA3E" w:rsidR="00522622" w:rsidRDefault="00522622" w:rsidP="007054F5">
            <w:pPr>
              <w:widowControl w:val="0"/>
              <w:tabs>
                <w:tab w:val="right" w:leader="dot" w:pos="7920"/>
              </w:tabs>
              <w:jc w:val="center"/>
              <w:rPr>
                <w:lang w:val="vi-VN"/>
              </w:rPr>
            </w:pPr>
            <w:r w:rsidRPr="007054F5">
              <w:rPr>
                <w:shd w:val="clear" w:color="auto" w:fill="00B050"/>
                <w:lang w:val="vi-VN"/>
              </w:rPr>
              <w:t>+5</w:t>
            </w:r>
          </w:p>
        </w:tc>
        <w:tc>
          <w:tcPr>
            <w:tcW w:w="867" w:type="pct"/>
            <w:shd w:val="clear" w:color="auto" w:fill="FFFF00"/>
          </w:tcPr>
          <w:p w14:paraId="0EDF0444" w14:textId="77777777" w:rsidR="00522622" w:rsidRDefault="00522622" w:rsidP="007054F5">
            <w:pPr>
              <w:widowControl w:val="0"/>
              <w:tabs>
                <w:tab w:val="right" w:leader="dot" w:pos="7920"/>
              </w:tabs>
              <w:jc w:val="center"/>
              <w:rPr>
                <w:lang w:val="vi-VN"/>
              </w:rPr>
            </w:pPr>
            <w:r>
              <w:rPr>
                <w:lang w:val="vi-VN"/>
              </w:rPr>
              <w:t>-1</w:t>
            </w:r>
          </w:p>
        </w:tc>
      </w:tr>
      <w:tr w:rsidR="00522622" w14:paraId="7AB766D1" w14:textId="77777777" w:rsidTr="007054F5">
        <w:tc>
          <w:tcPr>
            <w:tcW w:w="1529" w:type="pct"/>
          </w:tcPr>
          <w:p w14:paraId="30BCE967" w14:textId="77777777" w:rsidR="00522622" w:rsidRDefault="00522622" w:rsidP="007054F5">
            <w:pPr>
              <w:widowControl w:val="0"/>
              <w:tabs>
                <w:tab w:val="right" w:leader="dot" w:pos="7920"/>
              </w:tabs>
              <w:jc w:val="both"/>
              <w:rPr>
                <w:lang w:val="vi-VN"/>
              </w:rPr>
            </w:pPr>
            <w:r>
              <w:rPr>
                <w:lang w:val="vi-VN"/>
              </w:rPr>
              <w:t>Doanh nghiệp</w:t>
            </w:r>
          </w:p>
        </w:tc>
        <w:tc>
          <w:tcPr>
            <w:tcW w:w="868" w:type="pct"/>
            <w:shd w:val="clear" w:color="auto" w:fill="C5E0B3" w:themeFill="accent6" w:themeFillTint="66"/>
          </w:tcPr>
          <w:p w14:paraId="5A52EB69" w14:textId="77777777" w:rsidR="00522622" w:rsidRDefault="00522622" w:rsidP="007054F5">
            <w:pPr>
              <w:widowControl w:val="0"/>
              <w:tabs>
                <w:tab w:val="right" w:leader="dot" w:pos="7920"/>
              </w:tabs>
              <w:jc w:val="center"/>
              <w:rPr>
                <w:lang w:val="vi-VN"/>
              </w:rPr>
            </w:pPr>
            <w:r>
              <w:rPr>
                <w:lang w:val="vi-VN"/>
              </w:rPr>
              <w:t>+1</w:t>
            </w:r>
          </w:p>
        </w:tc>
        <w:tc>
          <w:tcPr>
            <w:tcW w:w="868" w:type="pct"/>
            <w:shd w:val="clear" w:color="auto" w:fill="ED7D31" w:themeFill="accent2"/>
          </w:tcPr>
          <w:p w14:paraId="3A1DF090" w14:textId="77777777" w:rsidR="00522622" w:rsidRDefault="00522622" w:rsidP="007054F5">
            <w:pPr>
              <w:widowControl w:val="0"/>
              <w:tabs>
                <w:tab w:val="right" w:leader="dot" w:pos="7920"/>
              </w:tabs>
              <w:jc w:val="center"/>
              <w:rPr>
                <w:lang w:val="vi-VN"/>
              </w:rPr>
            </w:pPr>
            <w:r>
              <w:rPr>
                <w:lang w:val="vi-VN"/>
              </w:rPr>
              <w:t>-4</w:t>
            </w:r>
          </w:p>
        </w:tc>
        <w:tc>
          <w:tcPr>
            <w:tcW w:w="867" w:type="pct"/>
            <w:shd w:val="clear" w:color="auto" w:fill="92D050"/>
          </w:tcPr>
          <w:p w14:paraId="29A2A0DA" w14:textId="75100EC4" w:rsidR="00522622" w:rsidRDefault="00522622" w:rsidP="007054F5">
            <w:pPr>
              <w:widowControl w:val="0"/>
              <w:tabs>
                <w:tab w:val="right" w:leader="dot" w:pos="7920"/>
              </w:tabs>
              <w:jc w:val="center"/>
              <w:rPr>
                <w:lang w:val="vi-VN"/>
              </w:rPr>
            </w:pPr>
            <w:r>
              <w:rPr>
                <w:lang w:val="vi-VN"/>
              </w:rPr>
              <w:t>+4</w:t>
            </w:r>
          </w:p>
        </w:tc>
        <w:tc>
          <w:tcPr>
            <w:tcW w:w="867" w:type="pct"/>
            <w:shd w:val="clear" w:color="auto" w:fill="FFFF00"/>
          </w:tcPr>
          <w:p w14:paraId="5F018B2F" w14:textId="77777777" w:rsidR="00522622" w:rsidRDefault="00522622" w:rsidP="007054F5">
            <w:pPr>
              <w:widowControl w:val="0"/>
              <w:tabs>
                <w:tab w:val="right" w:leader="dot" w:pos="7920"/>
              </w:tabs>
              <w:jc w:val="center"/>
              <w:rPr>
                <w:lang w:val="vi-VN"/>
              </w:rPr>
            </w:pPr>
            <w:r>
              <w:rPr>
                <w:lang w:val="vi-VN"/>
              </w:rPr>
              <w:t>-1</w:t>
            </w:r>
          </w:p>
        </w:tc>
      </w:tr>
      <w:tr w:rsidR="00522622" w14:paraId="7F181A13" w14:textId="77777777" w:rsidTr="007054F5">
        <w:tc>
          <w:tcPr>
            <w:tcW w:w="1529" w:type="pct"/>
          </w:tcPr>
          <w:p w14:paraId="68F06BBD" w14:textId="77777777" w:rsidR="00522622" w:rsidRDefault="00522622" w:rsidP="007054F5">
            <w:pPr>
              <w:widowControl w:val="0"/>
              <w:tabs>
                <w:tab w:val="right" w:leader="dot" w:pos="7920"/>
              </w:tabs>
              <w:jc w:val="both"/>
              <w:rPr>
                <w:lang w:val="vi-VN"/>
              </w:rPr>
            </w:pPr>
            <w:r>
              <w:rPr>
                <w:lang w:val="vi-VN"/>
              </w:rPr>
              <w:t>Người dân</w:t>
            </w:r>
          </w:p>
        </w:tc>
        <w:tc>
          <w:tcPr>
            <w:tcW w:w="868" w:type="pct"/>
          </w:tcPr>
          <w:p w14:paraId="6A622FC3" w14:textId="77777777" w:rsidR="00522622" w:rsidRDefault="00522622" w:rsidP="007054F5">
            <w:pPr>
              <w:widowControl w:val="0"/>
              <w:tabs>
                <w:tab w:val="right" w:leader="dot" w:pos="7920"/>
              </w:tabs>
              <w:jc w:val="center"/>
              <w:rPr>
                <w:lang w:val="vi-VN"/>
              </w:rPr>
            </w:pPr>
            <w:r>
              <w:rPr>
                <w:lang w:val="vi-VN"/>
              </w:rPr>
              <w:t>0</w:t>
            </w:r>
          </w:p>
        </w:tc>
        <w:tc>
          <w:tcPr>
            <w:tcW w:w="868" w:type="pct"/>
            <w:shd w:val="clear" w:color="auto" w:fill="FFFF00"/>
          </w:tcPr>
          <w:p w14:paraId="53CF4094" w14:textId="77777777" w:rsidR="00522622" w:rsidRDefault="00522622" w:rsidP="007054F5">
            <w:pPr>
              <w:widowControl w:val="0"/>
              <w:tabs>
                <w:tab w:val="right" w:leader="dot" w:pos="7920"/>
              </w:tabs>
              <w:jc w:val="center"/>
              <w:rPr>
                <w:lang w:val="vi-VN"/>
              </w:rPr>
            </w:pPr>
            <w:r>
              <w:rPr>
                <w:lang w:val="vi-VN"/>
              </w:rPr>
              <w:t>-2</w:t>
            </w:r>
          </w:p>
        </w:tc>
        <w:tc>
          <w:tcPr>
            <w:tcW w:w="867" w:type="pct"/>
            <w:shd w:val="clear" w:color="auto" w:fill="C5E0B3" w:themeFill="accent6" w:themeFillTint="66"/>
          </w:tcPr>
          <w:p w14:paraId="50ED4774" w14:textId="0F819BB1" w:rsidR="00522622" w:rsidRDefault="00522622" w:rsidP="007054F5">
            <w:pPr>
              <w:widowControl w:val="0"/>
              <w:tabs>
                <w:tab w:val="right" w:leader="dot" w:pos="7920"/>
              </w:tabs>
              <w:jc w:val="center"/>
              <w:rPr>
                <w:lang w:val="vi-VN"/>
              </w:rPr>
            </w:pPr>
            <w:r>
              <w:rPr>
                <w:lang w:val="vi-VN"/>
              </w:rPr>
              <w:t>+2</w:t>
            </w:r>
          </w:p>
        </w:tc>
        <w:tc>
          <w:tcPr>
            <w:tcW w:w="867" w:type="pct"/>
          </w:tcPr>
          <w:p w14:paraId="39DB173D" w14:textId="77777777" w:rsidR="00522622" w:rsidRDefault="00522622" w:rsidP="007054F5">
            <w:pPr>
              <w:widowControl w:val="0"/>
              <w:tabs>
                <w:tab w:val="right" w:leader="dot" w:pos="7920"/>
              </w:tabs>
              <w:jc w:val="center"/>
              <w:rPr>
                <w:lang w:val="vi-VN"/>
              </w:rPr>
            </w:pPr>
            <w:r>
              <w:rPr>
                <w:lang w:val="vi-VN"/>
              </w:rPr>
              <w:t>0</w:t>
            </w:r>
          </w:p>
        </w:tc>
      </w:tr>
      <w:tr w:rsidR="00522622" w14:paraId="4BAD4590" w14:textId="77777777" w:rsidTr="007054F5">
        <w:tc>
          <w:tcPr>
            <w:tcW w:w="1529" w:type="pct"/>
          </w:tcPr>
          <w:p w14:paraId="7F2A8DAF" w14:textId="77777777" w:rsidR="00522622" w:rsidRPr="00DB40FC" w:rsidRDefault="00522622" w:rsidP="007054F5">
            <w:pPr>
              <w:widowControl w:val="0"/>
              <w:tabs>
                <w:tab w:val="right" w:leader="dot" w:pos="7920"/>
              </w:tabs>
              <w:jc w:val="both"/>
              <w:rPr>
                <w:b/>
                <w:bCs/>
                <w:i/>
                <w:iCs/>
                <w:lang w:val="vi-VN"/>
              </w:rPr>
            </w:pPr>
            <w:r w:rsidRPr="00DB40FC">
              <w:rPr>
                <w:b/>
                <w:bCs/>
                <w:i/>
                <w:iCs/>
                <w:lang w:val="vi-VN"/>
              </w:rPr>
              <w:t>Tác động xã hội</w:t>
            </w:r>
          </w:p>
        </w:tc>
        <w:tc>
          <w:tcPr>
            <w:tcW w:w="868" w:type="pct"/>
          </w:tcPr>
          <w:p w14:paraId="1E8A7613" w14:textId="77777777" w:rsidR="00522622" w:rsidRPr="00856FAF" w:rsidRDefault="00522622" w:rsidP="007054F5">
            <w:pPr>
              <w:widowControl w:val="0"/>
              <w:tabs>
                <w:tab w:val="right" w:leader="dot" w:pos="7920"/>
              </w:tabs>
              <w:jc w:val="center"/>
              <w:rPr>
                <w:b/>
                <w:bCs/>
                <w:lang w:val="vi-VN"/>
              </w:rPr>
            </w:pPr>
            <w:r w:rsidRPr="00856FAF">
              <w:rPr>
                <w:b/>
                <w:bCs/>
                <w:lang w:val="vi-VN"/>
              </w:rPr>
              <w:t>+</w:t>
            </w:r>
            <w:r>
              <w:rPr>
                <w:b/>
                <w:bCs/>
                <w:lang w:val="vi-VN"/>
              </w:rPr>
              <w:t>6</w:t>
            </w:r>
          </w:p>
        </w:tc>
        <w:tc>
          <w:tcPr>
            <w:tcW w:w="868" w:type="pct"/>
          </w:tcPr>
          <w:p w14:paraId="40E0885A" w14:textId="77777777" w:rsidR="00522622" w:rsidRPr="00856FAF" w:rsidRDefault="00522622" w:rsidP="007054F5">
            <w:pPr>
              <w:widowControl w:val="0"/>
              <w:tabs>
                <w:tab w:val="right" w:leader="dot" w:pos="7920"/>
              </w:tabs>
              <w:jc w:val="center"/>
              <w:rPr>
                <w:b/>
                <w:bCs/>
                <w:lang w:val="vi-VN"/>
              </w:rPr>
            </w:pPr>
            <w:r w:rsidRPr="00856FAF">
              <w:rPr>
                <w:b/>
                <w:bCs/>
                <w:lang w:val="vi-VN"/>
              </w:rPr>
              <w:t>-9</w:t>
            </w:r>
          </w:p>
        </w:tc>
        <w:tc>
          <w:tcPr>
            <w:tcW w:w="867" w:type="pct"/>
          </w:tcPr>
          <w:p w14:paraId="00DBA92F" w14:textId="7A3E8D7E" w:rsidR="00522622" w:rsidRPr="00856FAF" w:rsidRDefault="00522622" w:rsidP="007054F5">
            <w:pPr>
              <w:widowControl w:val="0"/>
              <w:tabs>
                <w:tab w:val="right" w:leader="dot" w:pos="7920"/>
              </w:tabs>
              <w:jc w:val="center"/>
              <w:rPr>
                <w:b/>
                <w:bCs/>
                <w:lang w:val="vi-VN"/>
              </w:rPr>
            </w:pPr>
            <w:r w:rsidRPr="00856FAF">
              <w:rPr>
                <w:b/>
                <w:bCs/>
                <w:lang w:val="vi-VN"/>
              </w:rPr>
              <w:t>+</w:t>
            </w:r>
            <w:r>
              <w:rPr>
                <w:b/>
                <w:bCs/>
                <w:lang w:val="vi-VN"/>
              </w:rPr>
              <w:t>1</w:t>
            </w:r>
            <w:r w:rsidR="0057672D">
              <w:rPr>
                <w:b/>
                <w:bCs/>
                <w:lang w:val="vi-VN"/>
              </w:rPr>
              <w:t>3</w:t>
            </w:r>
          </w:p>
        </w:tc>
        <w:tc>
          <w:tcPr>
            <w:tcW w:w="867" w:type="pct"/>
          </w:tcPr>
          <w:p w14:paraId="05F6244E" w14:textId="342B6EC6" w:rsidR="00522622" w:rsidRPr="00856FAF" w:rsidRDefault="00522622" w:rsidP="007054F5">
            <w:pPr>
              <w:widowControl w:val="0"/>
              <w:tabs>
                <w:tab w:val="right" w:leader="dot" w:pos="7920"/>
              </w:tabs>
              <w:jc w:val="center"/>
              <w:rPr>
                <w:b/>
                <w:bCs/>
                <w:lang w:val="vi-VN"/>
              </w:rPr>
            </w:pPr>
            <w:r>
              <w:rPr>
                <w:b/>
                <w:bCs/>
                <w:lang w:val="vi-VN"/>
              </w:rPr>
              <w:t>-1</w:t>
            </w:r>
          </w:p>
        </w:tc>
      </w:tr>
      <w:tr w:rsidR="00522622" w14:paraId="56265327" w14:textId="77777777" w:rsidTr="007054F5">
        <w:tc>
          <w:tcPr>
            <w:tcW w:w="1529" w:type="pct"/>
          </w:tcPr>
          <w:p w14:paraId="5152770F" w14:textId="77777777" w:rsidR="00522622" w:rsidRDefault="00522622" w:rsidP="007054F5">
            <w:pPr>
              <w:widowControl w:val="0"/>
              <w:tabs>
                <w:tab w:val="right" w:leader="dot" w:pos="7920"/>
              </w:tabs>
              <w:jc w:val="both"/>
              <w:rPr>
                <w:lang w:val="vi-VN"/>
              </w:rPr>
            </w:pPr>
            <w:r>
              <w:rPr>
                <w:lang w:val="vi-VN"/>
              </w:rPr>
              <w:t>Nhà nước</w:t>
            </w:r>
          </w:p>
        </w:tc>
        <w:tc>
          <w:tcPr>
            <w:tcW w:w="868" w:type="pct"/>
          </w:tcPr>
          <w:p w14:paraId="63AE5ACE" w14:textId="77777777" w:rsidR="00522622" w:rsidRDefault="00522622" w:rsidP="007054F5">
            <w:pPr>
              <w:widowControl w:val="0"/>
              <w:tabs>
                <w:tab w:val="right" w:leader="dot" w:pos="7920"/>
              </w:tabs>
              <w:jc w:val="center"/>
              <w:rPr>
                <w:lang w:val="vi-VN"/>
              </w:rPr>
            </w:pPr>
            <w:r>
              <w:rPr>
                <w:lang w:val="vi-VN"/>
              </w:rPr>
              <w:t>0</w:t>
            </w:r>
          </w:p>
        </w:tc>
        <w:tc>
          <w:tcPr>
            <w:tcW w:w="868" w:type="pct"/>
            <w:shd w:val="clear" w:color="auto" w:fill="ED7D31" w:themeFill="accent2"/>
          </w:tcPr>
          <w:p w14:paraId="32DE814E" w14:textId="77777777" w:rsidR="00522622" w:rsidRDefault="00522622" w:rsidP="007054F5">
            <w:pPr>
              <w:widowControl w:val="0"/>
              <w:tabs>
                <w:tab w:val="right" w:leader="dot" w:pos="7920"/>
              </w:tabs>
              <w:jc w:val="center"/>
              <w:rPr>
                <w:lang w:val="vi-VN"/>
              </w:rPr>
            </w:pPr>
            <w:r>
              <w:rPr>
                <w:lang w:val="vi-VN"/>
              </w:rPr>
              <w:t>-3</w:t>
            </w:r>
          </w:p>
        </w:tc>
        <w:tc>
          <w:tcPr>
            <w:tcW w:w="867" w:type="pct"/>
            <w:shd w:val="clear" w:color="auto" w:fill="00B050"/>
          </w:tcPr>
          <w:p w14:paraId="1D135977" w14:textId="77777777" w:rsidR="00522622" w:rsidRDefault="00522622" w:rsidP="007054F5">
            <w:pPr>
              <w:widowControl w:val="0"/>
              <w:tabs>
                <w:tab w:val="right" w:leader="dot" w:pos="7920"/>
              </w:tabs>
              <w:jc w:val="center"/>
              <w:rPr>
                <w:lang w:val="vi-VN"/>
              </w:rPr>
            </w:pPr>
            <w:r>
              <w:rPr>
                <w:lang w:val="vi-VN"/>
              </w:rPr>
              <w:t>+5</w:t>
            </w:r>
          </w:p>
        </w:tc>
        <w:tc>
          <w:tcPr>
            <w:tcW w:w="867" w:type="pct"/>
            <w:shd w:val="clear" w:color="auto" w:fill="FFFF00"/>
          </w:tcPr>
          <w:p w14:paraId="0A5BF2B1" w14:textId="0BBC92E1" w:rsidR="00522622" w:rsidRDefault="00522622" w:rsidP="007054F5">
            <w:pPr>
              <w:widowControl w:val="0"/>
              <w:tabs>
                <w:tab w:val="right" w:leader="dot" w:pos="7920"/>
              </w:tabs>
              <w:jc w:val="center"/>
              <w:rPr>
                <w:lang w:val="vi-VN"/>
              </w:rPr>
            </w:pPr>
            <w:r>
              <w:rPr>
                <w:lang w:val="vi-VN"/>
              </w:rPr>
              <w:t>-1</w:t>
            </w:r>
          </w:p>
        </w:tc>
      </w:tr>
      <w:tr w:rsidR="00522622" w14:paraId="58D2583C" w14:textId="77777777" w:rsidTr="007054F5">
        <w:tc>
          <w:tcPr>
            <w:tcW w:w="1529" w:type="pct"/>
          </w:tcPr>
          <w:p w14:paraId="5493B1C9" w14:textId="77777777" w:rsidR="00522622" w:rsidRDefault="00522622" w:rsidP="007054F5">
            <w:pPr>
              <w:widowControl w:val="0"/>
              <w:tabs>
                <w:tab w:val="right" w:leader="dot" w:pos="7920"/>
              </w:tabs>
              <w:jc w:val="both"/>
              <w:rPr>
                <w:lang w:val="vi-VN"/>
              </w:rPr>
            </w:pPr>
            <w:r>
              <w:rPr>
                <w:lang w:val="vi-VN"/>
              </w:rPr>
              <w:t>Doanh nghiệp</w:t>
            </w:r>
          </w:p>
        </w:tc>
        <w:tc>
          <w:tcPr>
            <w:tcW w:w="868" w:type="pct"/>
            <w:shd w:val="clear" w:color="auto" w:fill="C5E0B3" w:themeFill="accent6" w:themeFillTint="66"/>
          </w:tcPr>
          <w:p w14:paraId="41184F60" w14:textId="77777777" w:rsidR="00522622" w:rsidRDefault="00522622" w:rsidP="007054F5">
            <w:pPr>
              <w:widowControl w:val="0"/>
              <w:tabs>
                <w:tab w:val="right" w:leader="dot" w:pos="7920"/>
              </w:tabs>
              <w:jc w:val="center"/>
              <w:rPr>
                <w:lang w:val="vi-VN"/>
              </w:rPr>
            </w:pPr>
            <w:r>
              <w:rPr>
                <w:lang w:val="vi-VN"/>
              </w:rPr>
              <w:t>+1</w:t>
            </w:r>
          </w:p>
        </w:tc>
        <w:tc>
          <w:tcPr>
            <w:tcW w:w="868" w:type="pct"/>
            <w:shd w:val="clear" w:color="auto" w:fill="FFFF00"/>
          </w:tcPr>
          <w:p w14:paraId="5CA9EA2B" w14:textId="77777777" w:rsidR="00522622" w:rsidRDefault="00522622" w:rsidP="007054F5">
            <w:pPr>
              <w:widowControl w:val="0"/>
              <w:tabs>
                <w:tab w:val="right" w:leader="dot" w:pos="7920"/>
              </w:tabs>
              <w:jc w:val="center"/>
              <w:rPr>
                <w:lang w:val="vi-VN"/>
              </w:rPr>
            </w:pPr>
            <w:r>
              <w:rPr>
                <w:lang w:val="vi-VN"/>
              </w:rPr>
              <w:t>-2</w:t>
            </w:r>
          </w:p>
        </w:tc>
        <w:tc>
          <w:tcPr>
            <w:tcW w:w="867" w:type="pct"/>
            <w:shd w:val="clear" w:color="auto" w:fill="92D050"/>
          </w:tcPr>
          <w:p w14:paraId="7D895AB8" w14:textId="77777777" w:rsidR="00522622" w:rsidRDefault="00522622" w:rsidP="007054F5">
            <w:pPr>
              <w:widowControl w:val="0"/>
              <w:tabs>
                <w:tab w:val="right" w:leader="dot" w:pos="7920"/>
              </w:tabs>
              <w:jc w:val="center"/>
              <w:rPr>
                <w:lang w:val="vi-VN"/>
              </w:rPr>
            </w:pPr>
            <w:r>
              <w:rPr>
                <w:lang w:val="vi-VN"/>
              </w:rPr>
              <w:t>+4</w:t>
            </w:r>
          </w:p>
        </w:tc>
        <w:tc>
          <w:tcPr>
            <w:tcW w:w="867" w:type="pct"/>
          </w:tcPr>
          <w:p w14:paraId="196A42A7" w14:textId="77777777" w:rsidR="00522622" w:rsidRDefault="00522622" w:rsidP="007054F5">
            <w:pPr>
              <w:widowControl w:val="0"/>
              <w:tabs>
                <w:tab w:val="right" w:leader="dot" w:pos="7920"/>
              </w:tabs>
              <w:jc w:val="center"/>
              <w:rPr>
                <w:lang w:val="vi-VN"/>
              </w:rPr>
            </w:pPr>
            <w:r>
              <w:rPr>
                <w:lang w:val="vi-VN"/>
              </w:rPr>
              <w:t>0</w:t>
            </w:r>
          </w:p>
        </w:tc>
      </w:tr>
      <w:tr w:rsidR="00522622" w14:paraId="70E70702" w14:textId="77777777" w:rsidTr="007054F5">
        <w:tc>
          <w:tcPr>
            <w:tcW w:w="1529" w:type="pct"/>
          </w:tcPr>
          <w:p w14:paraId="188FE5E4" w14:textId="77777777" w:rsidR="00522622" w:rsidRDefault="00522622" w:rsidP="007054F5">
            <w:pPr>
              <w:widowControl w:val="0"/>
              <w:tabs>
                <w:tab w:val="right" w:leader="dot" w:pos="7920"/>
              </w:tabs>
              <w:jc w:val="both"/>
              <w:rPr>
                <w:lang w:val="vi-VN"/>
              </w:rPr>
            </w:pPr>
            <w:r>
              <w:rPr>
                <w:lang w:val="vi-VN"/>
              </w:rPr>
              <w:t>Môi trường</w:t>
            </w:r>
          </w:p>
        </w:tc>
        <w:tc>
          <w:tcPr>
            <w:tcW w:w="868" w:type="pct"/>
            <w:shd w:val="clear" w:color="auto" w:fill="92D050"/>
          </w:tcPr>
          <w:p w14:paraId="63732B7A" w14:textId="77777777" w:rsidR="00522622" w:rsidRDefault="00522622" w:rsidP="007054F5">
            <w:pPr>
              <w:widowControl w:val="0"/>
              <w:tabs>
                <w:tab w:val="right" w:leader="dot" w:pos="7920"/>
              </w:tabs>
              <w:jc w:val="center"/>
              <w:rPr>
                <w:lang w:val="vi-VN"/>
              </w:rPr>
            </w:pPr>
            <w:r>
              <w:rPr>
                <w:lang w:val="vi-VN"/>
              </w:rPr>
              <w:t>+3</w:t>
            </w:r>
          </w:p>
        </w:tc>
        <w:tc>
          <w:tcPr>
            <w:tcW w:w="868" w:type="pct"/>
            <w:shd w:val="clear" w:color="auto" w:fill="FFFF00"/>
          </w:tcPr>
          <w:p w14:paraId="5457C461" w14:textId="77777777" w:rsidR="00522622" w:rsidRDefault="00522622" w:rsidP="007054F5">
            <w:pPr>
              <w:widowControl w:val="0"/>
              <w:tabs>
                <w:tab w:val="right" w:leader="dot" w:pos="7920"/>
              </w:tabs>
              <w:jc w:val="center"/>
              <w:rPr>
                <w:lang w:val="vi-VN"/>
              </w:rPr>
            </w:pPr>
            <w:r>
              <w:rPr>
                <w:lang w:val="vi-VN"/>
              </w:rPr>
              <w:t>-2</w:t>
            </w:r>
          </w:p>
        </w:tc>
        <w:tc>
          <w:tcPr>
            <w:tcW w:w="867" w:type="pct"/>
            <w:shd w:val="clear" w:color="auto" w:fill="C5E0B3" w:themeFill="accent6" w:themeFillTint="66"/>
          </w:tcPr>
          <w:p w14:paraId="4615AE01" w14:textId="4CC723D1" w:rsidR="00522622" w:rsidRDefault="00522622" w:rsidP="007054F5">
            <w:pPr>
              <w:widowControl w:val="0"/>
              <w:tabs>
                <w:tab w:val="right" w:leader="dot" w:pos="7920"/>
              </w:tabs>
              <w:jc w:val="center"/>
              <w:rPr>
                <w:lang w:val="vi-VN"/>
              </w:rPr>
            </w:pPr>
            <w:r>
              <w:rPr>
                <w:lang w:val="vi-VN"/>
              </w:rPr>
              <w:t>+3</w:t>
            </w:r>
          </w:p>
        </w:tc>
        <w:tc>
          <w:tcPr>
            <w:tcW w:w="867" w:type="pct"/>
          </w:tcPr>
          <w:p w14:paraId="48C1445D" w14:textId="77777777" w:rsidR="00522622" w:rsidRDefault="00522622" w:rsidP="007054F5">
            <w:pPr>
              <w:widowControl w:val="0"/>
              <w:tabs>
                <w:tab w:val="right" w:leader="dot" w:pos="7920"/>
              </w:tabs>
              <w:jc w:val="center"/>
              <w:rPr>
                <w:lang w:val="vi-VN"/>
              </w:rPr>
            </w:pPr>
            <w:r>
              <w:rPr>
                <w:lang w:val="vi-VN"/>
              </w:rPr>
              <w:t>0</w:t>
            </w:r>
          </w:p>
        </w:tc>
      </w:tr>
      <w:tr w:rsidR="00522622" w14:paraId="09D63AC2" w14:textId="77777777" w:rsidTr="007054F5">
        <w:tc>
          <w:tcPr>
            <w:tcW w:w="1529" w:type="pct"/>
          </w:tcPr>
          <w:p w14:paraId="681F7BF7" w14:textId="77777777" w:rsidR="00522622" w:rsidRDefault="00522622" w:rsidP="007054F5">
            <w:pPr>
              <w:widowControl w:val="0"/>
              <w:tabs>
                <w:tab w:val="right" w:leader="dot" w:pos="7920"/>
              </w:tabs>
              <w:jc w:val="both"/>
              <w:rPr>
                <w:lang w:val="vi-VN"/>
              </w:rPr>
            </w:pPr>
            <w:r>
              <w:rPr>
                <w:lang w:val="vi-VN"/>
              </w:rPr>
              <w:t>Người dân</w:t>
            </w:r>
          </w:p>
        </w:tc>
        <w:tc>
          <w:tcPr>
            <w:tcW w:w="868" w:type="pct"/>
            <w:shd w:val="clear" w:color="auto" w:fill="C5E0B3" w:themeFill="accent6" w:themeFillTint="66"/>
          </w:tcPr>
          <w:p w14:paraId="1AE39856" w14:textId="77777777" w:rsidR="00522622" w:rsidRDefault="00522622" w:rsidP="007054F5">
            <w:pPr>
              <w:widowControl w:val="0"/>
              <w:tabs>
                <w:tab w:val="right" w:leader="dot" w:pos="7920"/>
              </w:tabs>
              <w:jc w:val="center"/>
              <w:rPr>
                <w:lang w:val="vi-VN"/>
              </w:rPr>
            </w:pPr>
            <w:r>
              <w:rPr>
                <w:lang w:val="vi-VN"/>
              </w:rPr>
              <w:t>+2</w:t>
            </w:r>
          </w:p>
        </w:tc>
        <w:tc>
          <w:tcPr>
            <w:tcW w:w="868" w:type="pct"/>
            <w:shd w:val="clear" w:color="auto" w:fill="FFFF00"/>
          </w:tcPr>
          <w:p w14:paraId="2857DA69" w14:textId="77777777" w:rsidR="00522622" w:rsidRDefault="00522622" w:rsidP="007054F5">
            <w:pPr>
              <w:widowControl w:val="0"/>
              <w:tabs>
                <w:tab w:val="right" w:leader="dot" w:pos="7920"/>
              </w:tabs>
              <w:jc w:val="center"/>
              <w:rPr>
                <w:lang w:val="vi-VN"/>
              </w:rPr>
            </w:pPr>
            <w:r>
              <w:rPr>
                <w:lang w:val="vi-VN"/>
              </w:rPr>
              <w:t>-2</w:t>
            </w:r>
          </w:p>
        </w:tc>
        <w:tc>
          <w:tcPr>
            <w:tcW w:w="867" w:type="pct"/>
            <w:shd w:val="clear" w:color="auto" w:fill="C5E0B3" w:themeFill="accent6" w:themeFillTint="66"/>
          </w:tcPr>
          <w:p w14:paraId="4D62A657" w14:textId="5866F409" w:rsidR="00522622" w:rsidRDefault="00522622" w:rsidP="007054F5">
            <w:pPr>
              <w:widowControl w:val="0"/>
              <w:tabs>
                <w:tab w:val="right" w:leader="dot" w:pos="7920"/>
              </w:tabs>
              <w:jc w:val="center"/>
              <w:rPr>
                <w:lang w:val="vi-VN"/>
              </w:rPr>
            </w:pPr>
            <w:r>
              <w:rPr>
                <w:lang w:val="vi-VN"/>
              </w:rPr>
              <w:t>+1</w:t>
            </w:r>
          </w:p>
        </w:tc>
        <w:tc>
          <w:tcPr>
            <w:tcW w:w="867" w:type="pct"/>
          </w:tcPr>
          <w:p w14:paraId="5C943A49" w14:textId="77777777" w:rsidR="00522622" w:rsidRDefault="00522622" w:rsidP="007054F5">
            <w:pPr>
              <w:widowControl w:val="0"/>
              <w:tabs>
                <w:tab w:val="right" w:leader="dot" w:pos="7920"/>
              </w:tabs>
              <w:jc w:val="center"/>
              <w:rPr>
                <w:lang w:val="vi-VN"/>
              </w:rPr>
            </w:pPr>
            <w:r>
              <w:rPr>
                <w:lang w:val="vi-VN"/>
              </w:rPr>
              <w:t>0</w:t>
            </w:r>
          </w:p>
        </w:tc>
      </w:tr>
      <w:tr w:rsidR="00522622" w14:paraId="38DF4A57" w14:textId="77777777" w:rsidTr="007054F5">
        <w:tc>
          <w:tcPr>
            <w:tcW w:w="1529" w:type="pct"/>
          </w:tcPr>
          <w:p w14:paraId="7A98D04E" w14:textId="77777777" w:rsidR="00522622" w:rsidRPr="001323A4" w:rsidRDefault="00522622" w:rsidP="007054F5">
            <w:pPr>
              <w:widowControl w:val="0"/>
              <w:tabs>
                <w:tab w:val="right" w:leader="dot" w:pos="7920"/>
              </w:tabs>
              <w:jc w:val="both"/>
              <w:rPr>
                <w:b/>
                <w:bCs/>
                <w:i/>
                <w:iCs/>
                <w:lang w:val="vi-VN"/>
              </w:rPr>
            </w:pPr>
            <w:r w:rsidRPr="001323A4">
              <w:rPr>
                <w:b/>
                <w:bCs/>
                <w:i/>
                <w:iCs/>
                <w:lang w:val="vi-VN"/>
              </w:rPr>
              <w:t>Tác động giới</w:t>
            </w:r>
          </w:p>
        </w:tc>
        <w:tc>
          <w:tcPr>
            <w:tcW w:w="868" w:type="pct"/>
          </w:tcPr>
          <w:p w14:paraId="537C4A81" w14:textId="77777777" w:rsidR="00522622" w:rsidRPr="00856FAF" w:rsidRDefault="00522622" w:rsidP="007054F5">
            <w:pPr>
              <w:widowControl w:val="0"/>
              <w:tabs>
                <w:tab w:val="right" w:leader="dot" w:pos="7920"/>
              </w:tabs>
              <w:jc w:val="center"/>
              <w:rPr>
                <w:b/>
                <w:bCs/>
                <w:lang w:val="vi-VN"/>
              </w:rPr>
            </w:pPr>
            <w:r>
              <w:rPr>
                <w:b/>
                <w:bCs/>
                <w:lang w:val="vi-VN"/>
              </w:rPr>
              <w:t>0</w:t>
            </w:r>
          </w:p>
        </w:tc>
        <w:tc>
          <w:tcPr>
            <w:tcW w:w="868" w:type="pct"/>
          </w:tcPr>
          <w:p w14:paraId="62430E9A" w14:textId="77777777" w:rsidR="00522622" w:rsidRPr="00856FAF" w:rsidRDefault="00522622" w:rsidP="007054F5">
            <w:pPr>
              <w:widowControl w:val="0"/>
              <w:tabs>
                <w:tab w:val="right" w:leader="dot" w:pos="7920"/>
              </w:tabs>
              <w:jc w:val="center"/>
              <w:rPr>
                <w:b/>
                <w:bCs/>
                <w:lang w:val="vi-VN"/>
              </w:rPr>
            </w:pPr>
            <w:r w:rsidRPr="00856FAF">
              <w:rPr>
                <w:b/>
                <w:bCs/>
                <w:lang w:val="vi-VN"/>
              </w:rPr>
              <w:t>0</w:t>
            </w:r>
          </w:p>
        </w:tc>
        <w:tc>
          <w:tcPr>
            <w:tcW w:w="867" w:type="pct"/>
          </w:tcPr>
          <w:p w14:paraId="41941EAF" w14:textId="77777777" w:rsidR="00522622" w:rsidRPr="00856FAF" w:rsidRDefault="00522622" w:rsidP="007054F5">
            <w:pPr>
              <w:widowControl w:val="0"/>
              <w:tabs>
                <w:tab w:val="right" w:leader="dot" w:pos="7920"/>
              </w:tabs>
              <w:jc w:val="center"/>
              <w:rPr>
                <w:b/>
                <w:bCs/>
                <w:lang w:val="vi-VN"/>
              </w:rPr>
            </w:pPr>
            <w:r>
              <w:rPr>
                <w:b/>
                <w:bCs/>
                <w:lang w:val="vi-VN"/>
              </w:rPr>
              <w:t>0</w:t>
            </w:r>
          </w:p>
        </w:tc>
        <w:tc>
          <w:tcPr>
            <w:tcW w:w="867" w:type="pct"/>
          </w:tcPr>
          <w:p w14:paraId="6A69F943" w14:textId="77777777" w:rsidR="00522622" w:rsidRPr="00856FAF" w:rsidRDefault="00522622" w:rsidP="007054F5">
            <w:pPr>
              <w:widowControl w:val="0"/>
              <w:tabs>
                <w:tab w:val="right" w:leader="dot" w:pos="7920"/>
              </w:tabs>
              <w:jc w:val="center"/>
              <w:rPr>
                <w:b/>
                <w:bCs/>
                <w:lang w:val="vi-VN"/>
              </w:rPr>
            </w:pPr>
            <w:r w:rsidRPr="00856FAF">
              <w:rPr>
                <w:b/>
                <w:bCs/>
                <w:lang w:val="vi-VN"/>
              </w:rPr>
              <w:t>0</w:t>
            </w:r>
          </w:p>
        </w:tc>
      </w:tr>
      <w:tr w:rsidR="00522622" w14:paraId="41316FBC" w14:textId="77777777" w:rsidTr="007054F5">
        <w:tc>
          <w:tcPr>
            <w:tcW w:w="1529" w:type="pct"/>
          </w:tcPr>
          <w:p w14:paraId="6933C571" w14:textId="77777777" w:rsidR="00522622" w:rsidRPr="001323A4" w:rsidRDefault="00522622" w:rsidP="007054F5">
            <w:pPr>
              <w:widowControl w:val="0"/>
              <w:tabs>
                <w:tab w:val="right" w:leader="dot" w:pos="7920"/>
              </w:tabs>
              <w:jc w:val="both"/>
              <w:rPr>
                <w:b/>
                <w:bCs/>
                <w:i/>
                <w:iCs/>
                <w:lang w:val="vi-VN"/>
              </w:rPr>
            </w:pPr>
            <w:r w:rsidRPr="001323A4">
              <w:rPr>
                <w:b/>
                <w:bCs/>
                <w:i/>
                <w:iCs/>
                <w:lang w:val="vi-VN"/>
              </w:rPr>
              <w:t>Tác động TTHC</w:t>
            </w:r>
          </w:p>
        </w:tc>
        <w:tc>
          <w:tcPr>
            <w:tcW w:w="868" w:type="pct"/>
          </w:tcPr>
          <w:p w14:paraId="022A7817" w14:textId="77777777" w:rsidR="00522622" w:rsidRPr="00856FAF" w:rsidRDefault="00522622" w:rsidP="007054F5">
            <w:pPr>
              <w:widowControl w:val="0"/>
              <w:tabs>
                <w:tab w:val="right" w:leader="dot" w:pos="7920"/>
              </w:tabs>
              <w:jc w:val="center"/>
              <w:rPr>
                <w:b/>
                <w:bCs/>
                <w:lang w:val="vi-VN"/>
              </w:rPr>
            </w:pPr>
            <w:r w:rsidRPr="00856FAF">
              <w:rPr>
                <w:b/>
                <w:bCs/>
                <w:lang w:val="vi-VN"/>
              </w:rPr>
              <w:t>0</w:t>
            </w:r>
          </w:p>
        </w:tc>
        <w:tc>
          <w:tcPr>
            <w:tcW w:w="868" w:type="pct"/>
          </w:tcPr>
          <w:p w14:paraId="324DBD62" w14:textId="77777777" w:rsidR="00522622" w:rsidRPr="00856FAF" w:rsidRDefault="00522622" w:rsidP="007054F5">
            <w:pPr>
              <w:widowControl w:val="0"/>
              <w:tabs>
                <w:tab w:val="right" w:leader="dot" w:pos="7920"/>
              </w:tabs>
              <w:jc w:val="center"/>
              <w:rPr>
                <w:b/>
                <w:bCs/>
                <w:lang w:val="vi-VN"/>
              </w:rPr>
            </w:pPr>
            <w:r w:rsidRPr="00856FAF">
              <w:rPr>
                <w:b/>
                <w:bCs/>
                <w:lang w:val="vi-VN"/>
              </w:rPr>
              <w:t>0</w:t>
            </w:r>
          </w:p>
        </w:tc>
        <w:tc>
          <w:tcPr>
            <w:tcW w:w="867" w:type="pct"/>
            <w:shd w:val="clear" w:color="auto" w:fill="92D050"/>
          </w:tcPr>
          <w:p w14:paraId="6B6726D4" w14:textId="77777777" w:rsidR="00522622" w:rsidRPr="00856FAF" w:rsidRDefault="00522622" w:rsidP="007054F5">
            <w:pPr>
              <w:widowControl w:val="0"/>
              <w:tabs>
                <w:tab w:val="right" w:leader="dot" w:pos="7920"/>
              </w:tabs>
              <w:jc w:val="center"/>
              <w:rPr>
                <w:b/>
                <w:bCs/>
                <w:lang w:val="vi-VN"/>
              </w:rPr>
            </w:pPr>
            <w:r>
              <w:rPr>
                <w:b/>
                <w:bCs/>
                <w:lang w:val="vi-VN"/>
              </w:rPr>
              <w:t>+3</w:t>
            </w:r>
          </w:p>
        </w:tc>
        <w:tc>
          <w:tcPr>
            <w:tcW w:w="867" w:type="pct"/>
            <w:shd w:val="clear" w:color="auto" w:fill="FFFF00"/>
          </w:tcPr>
          <w:p w14:paraId="6F4975C5" w14:textId="0EB5EB4F" w:rsidR="00522622" w:rsidRPr="00856FAF" w:rsidRDefault="00522622" w:rsidP="007054F5">
            <w:pPr>
              <w:widowControl w:val="0"/>
              <w:tabs>
                <w:tab w:val="right" w:leader="dot" w:pos="7920"/>
              </w:tabs>
              <w:jc w:val="center"/>
              <w:rPr>
                <w:b/>
                <w:bCs/>
                <w:lang w:val="vi-VN"/>
              </w:rPr>
            </w:pPr>
            <w:r>
              <w:rPr>
                <w:b/>
                <w:bCs/>
                <w:lang w:val="vi-VN"/>
              </w:rPr>
              <w:t>-1</w:t>
            </w:r>
          </w:p>
        </w:tc>
      </w:tr>
      <w:tr w:rsidR="00522622" w14:paraId="1942110C" w14:textId="77777777" w:rsidTr="007054F5">
        <w:tc>
          <w:tcPr>
            <w:tcW w:w="1529" w:type="pct"/>
          </w:tcPr>
          <w:p w14:paraId="20985192" w14:textId="77777777" w:rsidR="00522622" w:rsidRPr="001323A4" w:rsidRDefault="00522622" w:rsidP="007054F5">
            <w:pPr>
              <w:widowControl w:val="0"/>
              <w:tabs>
                <w:tab w:val="right" w:leader="dot" w:pos="7920"/>
              </w:tabs>
              <w:jc w:val="both"/>
              <w:rPr>
                <w:b/>
                <w:bCs/>
                <w:i/>
                <w:iCs/>
                <w:lang w:val="vi-VN"/>
              </w:rPr>
            </w:pPr>
            <w:r w:rsidRPr="001323A4">
              <w:rPr>
                <w:b/>
                <w:bCs/>
                <w:i/>
                <w:iCs/>
                <w:lang w:val="vi-VN"/>
              </w:rPr>
              <w:t>Tính đồng bộ về pháp luật</w:t>
            </w:r>
          </w:p>
        </w:tc>
        <w:tc>
          <w:tcPr>
            <w:tcW w:w="868" w:type="pct"/>
            <w:vAlign w:val="center"/>
          </w:tcPr>
          <w:p w14:paraId="0E7E1274" w14:textId="77777777" w:rsidR="00522622" w:rsidRPr="00856FAF" w:rsidRDefault="00522622" w:rsidP="007054F5">
            <w:pPr>
              <w:widowControl w:val="0"/>
              <w:tabs>
                <w:tab w:val="right" w:leader="dot" w:pos="7920"/>
              </w:tabs>
              <w:jc w:val="center"/>
              <w:rPr>
                <w:b/>
                <w:bCs/>
                <w:lang w:val="vi-VN"/>
              </w:rPr>
            </w:pPr>
            <w:r>
              <w:rPr>
                <w:b/>
                <w:bCs/>
                <w:lang w:val="vi-VN"/>
              </w:rPr>
              <w:t>0</w:t>
            </w:r>
          </w:p>
        </w:tc>
        <w:tc>
          <w:tcPr>
            <w:tcW w:w="868" w:type="pct"/>
            <w:shd w:val="clear" w:color="auto" w:fill="FF0000"/>
            <w:vAlign w:val="center"/>
          </w:tcPr>
          <w:p w14:paraId="15969966" w14:textId="77777777" w:rsidR="00522622" w:rsidRPr="00856FAF" w:rsidRDefault="00522622" w:rsidP="007054F5">
            <w:pPr>
              <w:widowControl w:val="0"/>
              <w:tabs>
                <w:tab w:val="right" w:leader="dot" w:pos="7920"/>
              </w:tabs>
              <w:jc w:val="center"/>
              <w:rPr>
                <w:b/>
                <w:bCs/>
                <w:lang w:val="vi-VN"/>
              </w:rPr>
            </w:pPr>
            <w:r w:rsidRPr="00856FAF">
              <w:rPr>
                <w:b/>
                <w:bCs/>
                <w:lang w:val="vi-VN"/>
              </w:rPr>
              <w:t>-5</w:t>
            </w:r>
          </w:p>
        </w:tc>
        <w:tc>
          <w:tcPr>
            <w:tcW w:w="867" w:type="pct"/>
            <w:shd w:val="clear" w:color="auto" w:fill="00B050"/>
            <w:vAlign w:val="center"/>
          </w:tcPr>
          <w:p w14:paraId="4D87ACCE" w14:textId="7410FC21" w:rsidR="00522622" w:rsidRPr="00856FAF" w:rsidRDefault="00522622" w:rsidP="007054F5">
            <w:pPr>
              <w:widowControl w:val="0"/>
              <w:tabs>
                <w:tab w:val="right" w:leader="dot" w:pos="7920"/>
              </w:tabs>
              <w:jc w:val="center"/>
              <w:rPr>
                <w:b/>
                <w:bCs/>
                <w:lang w:val="vi-VN"/>
              </w:rPr>
            </w:pPr>
            <w:r>
              <w:rPr>
                <w:b/>
                <w:bCs/>
                <w:lang w:val="vi-VN"/>
              </w:rPr>
              <w:t>+5</w:t>
            </w:r>
          </w:p>
        </w:tc>
        <w:tc>
          <w:tcPr>
            <w:tcW w:w="867" w:type="pct"/>
            <w:vAlign w:val="center"/>
          </w:tcPr>
          <w:p w14:paraId="68FD3100" w14:textId="77777777" w:rsidR="00522622" w:rsidRPr="00856FAF" w:rsidRDefault="00522622" w:rsidP="007054F5">
            <w:pPr>
              <w:widowControl w:val="0"/>
              <w:tabs>
                <w:tab w:val="right" w:leader="dot" w:pos="7920"/>
              </w:tabs>
              <w:jc w:val="center"/>
              <w:rPr>
                <w:b/>
                <w:bCs/>
                <w:lang w:val="vi-VN"/>
              </w:rPr>
            </w:pPr>
            <w:r>
              <w:rPr>
                <w:b/>
                <w:bCs/>
                <w:lang w:val="vi-VN"/>
              </w:rPr>
              <w:t>0</w:t>
            </w:r>
          </w:p>
        </w:tc>
      </w:tr>
      <w:tr w:rsidR="00522622" w14:paraId="6B92A6CE" w14:textId="77777777" w:rsidTr="007054F5">
        <w:tc>
          <w:tcPr>
            <w:tcW w:w="1529" w:type="pct"/>
          </w:tcPr>
          <w:p w14:paraId="1694B1DC" w14:textId="77777777" w:rsidR="00522622" w:rsidRDefault="00522622" w:rsidP="007054F5">
            <w:pPr>
              <w:widowControl w:val="0"/>
              <w:tabs>
                <w:tab w:val="right" w:leader="dot" w:pos="7920"/>
              </w:tabs>
              <w:jc w:val="both"/>
              <w:rPr>
                <w:lang w:val="vi-VN"/>
              </w:rPr>
            </w:pPr>
            <w:r>
              <w:rPr>
                <w:lang w:val="vi-VN"/>
              </w:rPr>
              <w:t>Tổng điểm</w:t>
            </w:r>
          </w:p>
        </w:tc>
        <w:tc>
          <w:tcPr>
            <w:tcW w:w="868" w:type="pct"/>
          </w:tcPr>
          <w:p w14:paraId="6177F6BF" w14:textId="65E1AD65" w:rsidR="00522622" w:rsidRPr="00856FAF" w:rsidRDefault="00522622" w:rsidP="007054F5">
            <w:pPr>
              <w:widowControl w:val="0"/>
              <w:tabs>
                <w:tab w:val="right" w:leader="dot" w:pos="7920"/>
              </w:tabs>
              <w:jc w:val="center"/>
              <w:rPr>
                <w:b/>
                <w:bCs/>
                <w:lang w:val="vi-VN"/>
              </w:rPr>
            </w:pPr>
            <w:r>
              <w:rPr>
                <w:b/>
                <w:bCs/>
                <w:lang w:val="vi-VN"/>
              </w:rPr>
              <w:t>+9</w:t>
            </w:r>
          </w:p>
        </w:tc>
        <w:tc>
          <w:tcPr>
            <w:tcW w:w="868" w:type="pct"/>
          </w:tcPr>
          <w:p w14:paraId="5241F592" w14:textId="77777777" w:rsidR="00522622" w:rsidRDefault="00522622" w:rsidP="007054F5">
            <w:pPr>
              <w:widowControl w:val="0"/>
              <w:tabs>
                <w:tab w:val="right" w:leader="dot" w:pos="7920"/>
              </w:tabs>
              <w:jc w:val="center"/>
              <w:rPr>
                <w:b/>
                <w:bCs/>
                <w:lang w:val="vi-VN"/>
              </w:rPr>
            </w:pPr>
            <w:r>
              <w:rPr>
                <w:b/>
                <w:bCs/>
                <w:lang w:val="vi-VN"/>
              </w:rPr>
              <w:t>-24</w:t>
            </w:r>
          </w:p>
        </w:tc>
        <w:tc>
          <w:tcPr>
            <w:tcW w:w="867" w:type="pct"/>
          </w:tcPr>
          <w:p w14:paraId="4776C95D" w14:textId="4AA5744D" w:rsidR="00522622" w:rsidRDefault="00522622" w:rsidP="007054F5">
            <w:pPr>
              <w:widowControl w:val="0"/>
              <w:tabs>
                <w:tab w:val="right" w:leader="dot" w:pos="7920"/>
              </w:tabs>
              <w:jc w:val="center"/>
              <w:rPr>
                <w:b/>
                <w:bCs/>
                <w:lang w:val="vi-VN"/>
              </w:rPr>
            </w:pPr>
            <w:r>
              <w:rPr>
                <w:b/>
                <w:bCs/>
                <w:lang w:val="vi-VN"/>
              </w:rPr>
              <w:t>+</w:t>
            </w:r>
            <w:r w:rsidR="0057672D">
              <w:rPr>
                <w:b/>
                <w:bCs/>
                <w:lang w:val="vi-VN"/>
              </w:rPr>
              <w:t>33</w:t>
            </w:r>
          </w:p>
        </w:tc>
        <w:tc>
          <w:tcPr>
            <w:tcW w:w="867" w:type="pct"/>
          </w:tcPr>
          <w:p w14:paraId="3317E122" w14:textId="486B809E" w:rsidR="00522622" w:rsidRPr="00856FAF" w:rsidRDefault="00522622" w:rsidP="007054F5">
            <w:pPr>
              <w:widowControl w:val="0"/>
              <w:tabs>
                <w:tab w:val="right" w:leader="dot" w:pos="7920"/>
              </w:tabs>
              <w:jc w:val="center"/>
              <w:rPr>
                <w:b/>
                <w:bCs/>
                <w:lang w:val="vi-VN"/>
              </w:rPr>
            </w:pPr>
            <w:r>
              <w:rPr>
                <w:b/>
                <w:bCs/>
                <w:lang w:val="vi-VN"/>
              </w:rPr>
              <w:t>-</w:t>
            </w:r>
            <w:r w:rsidR="0057672D">
              <w:rPr>
                <w:b/>
                <w:bCs/>
                <w:lang w:val="vi-VN"/>
              </w:rPr>
              <w:t>4</w:t>
            </w:r>
          </w:p>
        </w:tc>
      </w:tr>
    </w:tbl>
    <w:bookmarkEnd w:id="4"/>
    <w:p w14:paraId="45687C4B" w14:textId="77777777" w:rsidR="00831078" w:rsidRPr="00C411F0" w:rsidRDefault="00831078" w:rsidP="00A41810">
      <w:pPr>
        <w:widowControl w:val="0"/>
        <w:tabs>
          <w:tab w:val="right" w:leader="dot" w:pos="7920"/>
        </w:tabs>
        <w:spacing w:before="80" w:line="376" w:lineRule="exact"/>
        <w:jc w:val="both"/>
        <w:rPr>
          <w:i/>
          <w:iCs/>
          <w:color w:val="000000" w:themeColor="text1"/>
          <w:lang w:val="vi-VN"/>
        </w:rPr>
      </w:pPr>
      <w:r w:rsidRPr="00C411F0">
        <w:rPr>
          <w:i/>
          <w:iCs/>
          <w:color w:val="000000" w:themeColor="text1"/>
          <w:lang w:val="vi-VN"/>
        </w:rPr>
        <w:t xml:space="preserve">Ghi chú: </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4"/>
        <w:gridCol w:w="584"/>
        <w:gridCol w:w="584"/>
        <w:gridCol w:w="584"/>
        <w:gridCol w:w="584"/>
        <w:gridCol w:w="584"/>
      </w:tblGrid>
      <w:tr w:rsidR="00C2543F" w:rsidRPr="00C411F0" w14:paraId="78AE789B" w14:textId="77777777" w:rsidTr="00A41810">
        <w:tc>
          <w:tcPr>
            <w:tcW w:w="4536" w:type="dxa"/>
            <w:tcBorders>
              <w:right w:val="single" w:sz="4" w:space="0" w:color="auto"/>
            </w:tcBorders>
          </w:tcPr>
          <w:p w14:paraId="5475342B" w14:textId="77777777" w:rsidR="00790DB1" w:rsidRPr="00C411F0" w:rsidRDefault="00790DB1" w:rsidP="00EF0061">
            <w:pPr>
              <w:widowControl w:val="0"/>
              <w:tabs>
                <w:tab w:val="right" w:leader="dot" w:pos="7920"/>
              </w:tabs>
              <w:spacing w:before="40" w:after="40" w:line="340" w:lineRule="exact"/>
              <w:jc w:val="both"/>
              <w:rPr>
                <w:i/>
                <w:iCs/>
                <w:color w:val="000000" w:themeColor="text1"/>
                <w:lang w:val="vi-VN"/>
              </w:rPr>
            </w:pPr>
            <w:r w:rsidRPr="00C411F0">
              <w:rPr>
                <w:i/>
                <w:iCs/>
                <w:color w:val="000000" w:themeColor="text1"/>
                <w:lang w:val="vi-VN"/>
              </w:rPr>
              <w:t xml:space="preserve">Thang điểm tích cực (lợi ích)       </w:t>
            </w:r>
            <w:r w:rsidRPr="00C411F0">
              <w:rPr>
                <w:color w:val="000000" w:themeColor="text1"/>
                <w:lang w:val="vi-VN"/>
              </w:rPr>
              <w:t>(+)</w:t>
            </w:r>
          </w:p>
        </w:tc>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7C1145" w14:textId="3DC92BFE"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0</w:t>
            </w:r>
          </w:p>
        </w:tc>
        <w:tc>
          <w:tcPr>
            <w:tcW w:w="5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5F372E" w14:textId="52E82FBC"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1</w:t>
            </w:r>
          </w:p>
        </w:tc>
        <w:tc>
          <w:tcPr>
            <w:tcW w:w="5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D4A637"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2</w:t>
            </w:r>
          </w:p>
        </w:tc>
        <w:tc>
          <w:tcPr>
            <w:tcW w:w="584" w:type="dxa"/>
            <w:tcBorders>
              <w:top w:val="single" w:sz="4" w:space="0" w:color="auto"/>
              <w:left w:val="single" w:sz="4" w:space="0" w:color="auto"/>
              <w:bottom w:val="single" w:sz="4" w:space="0" w:color="auto"/>
              <w:right w:val="single" w:sz="4" w:space="0" w:color="auto"/>
            </w:tcBorders>
            <w:shd w:val="clear" w:color="auto" w:fill="92D050"/>
          </w:tcPr>
          <w:p w14:paraId="62F98942"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3</w:t>
            </w:r>
          </w:p>
        </w:tc>
        <w:tc>
          <w:tcPr>
            <w:tcW w:w="584" w:type="dxa"/>
            <w:tcBorders>
              <w:top w:val="single" w:sz="4" w:space="0" w:color="auto"/>
              <w:left w:val="single" w:sz="4" w:space="0" w:color="auto"/>
              <w:bottom w:val="single" w:sz="4" w:space="0" w:color="auto"/>
              <w:right w:val="single" w:sz="4" w:space="0" w:color="auto"/>
            </w:tcBorders>
            <w:shd w:val="clear" w:color="auto" w:fill="92D050"/>
          </w:tcPr>
          <w:p w14:paraId="1A139DCB"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4</w:t>
            </w:r>
          </w:p>
        </w:tc>
        <w:tc>
          <w:tcPr>
            <w:tcW w:w="584" w:type="dxa"/>
            <w:tcBorders>
              <w:top w:val="single" w:sz="4" w:space="0" w:color="auto"/>
              <w:left w:val="single" w:sz="4" w:space="0" w:color="auto"/>
              <w:bottom w:val="single" w:sz="4" w:space="0" w:color="auto"/>
              <w:right w:val="single" w:sz="4" w:space="0" w:color="auto"/>
            </w:tcBorders>
            <w:shd w:val="clear" w:color="auto" w:fill="00B050"/>
          </w:tcPr>
          <w:p w14:paraId="7D992F09"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5</w:t>
            </w:r>
          </w:p>
        </w:tc>
      </w:tr>
      <w:tr w:rsidR="00C411F0" w:rsidRPr="00C411F0" w14:paraId="749EDB02" w14:textId="77777777" w:rsidTr="00A41810">
        <w:tc>
          <w:tcPr>
            <w:tcW w:w="4536" w:type="dxa"/>
            <w:tcBorders>
              <w:right w:val="single" w:sz="4" w:space="0" w:color="auto"/>
            </w:tcBorders>
          </w:tcPr>
          <w:p w14:paraId="5855DAC0" w14:textId="6C47C89F" w:rsidR="00790DB1" w:rsidRPr="00C411F0" w:rsidRDefault="00790DB1" w:rsidP="00EF0061">
            <w:pPr>
              <w:widowControl w:val="0"/>
              <w:tabs>
                <w:tab w:val="right" w:leader="dot" w:pos="7920"/>
              </w:tabs>
              <w:spacing w:before="40" w:after="40" w:line="340" w:lineRule="exact"/>
              <w:jc w:val="both"/>
              <w:rPr>
                <w:i/>
                <w:iCs/>
                <w:color w:val="000000" w:themeColor="text1"/>
                <w:lang w:val="vi-VN"/>
              </w:rPr>
            </w:pPr>
            <w:r w:rsidRPr="00C411F0">
              <w:rPr>
                <w:i/>
                <w:iCs/>
                <w:color w:val="000000" w:themeColor="text1"/>
                <w:lang w:val="vi-VN"/>
              </w:rPr>
              <w:t>Thang điểm tiêu cực (chi phí)</w:t>
            </w:r>
            <w:r w:rsidRPr="00C411F0">
              <w:rPr>
                <w:color w:val="000000" w:themeColor="text1"/>
                <w:lang w:val="vi-VN"/>
              </w:rPr>
              <w:t xml:space="preserve">      (-)</w:t>
            </w:r>
          </w:p>
        </w:tc>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EB1D6" w14:textId="69A99386"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0</w:t>
            </w:r>
          </w:p>
        </w:tc>
        <w:tc>
          <w:tcPr>
            <w:tcW w:w="584" w:type="dxa"/>
            <w:tcBorders>
              <w:top w:val="single" w:sz="4" w:space="0" w:color="auto"/>
              <w:left w:val="single" w:sz="4" w:space="0" w:color="auto"/>
              <w:bottom w:val="single" w:sz="4" w:space="0" w:color="auto"/>
              <w:right w:val="single" w:sz="4" w:space="0" w:color="auto"/>
            </w:tcBorders>
            <w:shd w:val="clear" w:color="auto" w:fill="FFFF00"/>
          </w:tcPr>
          <w:p w14:paraId="70B5EF1C" w14:textId="22AF52F8"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1</w:t>
            </w:r>
          </w:p>
        </w:tc>
        <w:tc>
          <w:tcPr>
            <w:tcW w:w="584" w:type="dxa"/>
            <w:tcBorders>
              <w:top w:val="single" w:sz="4" w:space="0" w:color="auto"/>
              <w:left w:val="single" w:sz="4" w:space="0" w:color="auto"/>
              <w:bottom w:val="single" w:sz="4" w:space="0" w:color="auto"/>
              <w:right w:val="single" w:sz="4" w:space="0" w:color="auto"/>
            </w:tcBorders>
            <w:shd w:val="clear" w:color="auto" w:fill="FFFF00"/>
          </w:tcPr>
          <w:p w14:paraId="0EA2EC94"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2</w:t>
            </w:r>
          </w:p>
        </w:tc>
        <w:tc>
          <w:tcPr>
            <w:tcW w:w="584" w:type="dxa"/>
            <w:tcBorders>
              <w:top w:val="single" w:sz="4" w:space="0" w:color="auto"/>
              <w:left w:val="single" w:sz="4" w:space="0" w:color="auto"/>
              <w:bottom w:val="single" w:sz="4" w:space="0" w:color="auto"/>
              <w:right w:val="single" w:sz="4" w:space="0" w:color="auto"/>
            </w:tcBorders>
            <w:shd w:val="clear" w:color="auto" w:fill="ED7D31" w:themeFill="accent2"/>
          </w:tcPr>
          <w:p w14:paraId="1B5A905B"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3</w:t>
            </w:r>
          </w:p>
        </w:tc>
        <w:tc>
          <w:tcPr>
            <w:tcW w:w="584" w:type="dxa"/>
            <w:tcBorders>
              <w:top w:val="single" w:sz="4" w:space="0" w:color="auto"/>
              <w:left w:val="single" w:sz="4" w:space="0" w:color="auto"/>
              <w:bottom w:val="single" w:sz="4" w:space="0" w:color="auto"/>
              <w:right w:val="single" w:sz="4" w:space="0" w:color="auto"/>
            </w:tcBorders>
            <w:shd w:val="clear" w:color="auto" w:fill="ED7D31" w:themeFill="accent2"/>
          </w:tcPr>
          <w:p w14:paraId="7C60BB70"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4</w:t>
            </w:r>
          </w:p>
        </w:tc>
        <w:tc>
          <w:tcPr>
            <w:tcW w:w="584" w:type="dxa"/>
            <w:tcBorders>
              <w:top w:val="single" w:sz="4" w:space="0" w:color="auto"/>
              <w:left w:val="single" w:sz="4" w:space="0" w:color="auto"/>
              <w:bottom w:val="single" w:sz="4" w:space="0" w:color="auto"/>
              <w:right w:val="single" w:sz="4" w:space="0" w:color="auto"/>
            </w:tcBorders>
            <w:shd w:val="clear" w:color="auto" w:fill="FF0000"/>
          </w:tcPr>
          <w:p w14:paraId="2603A35D" w14:textId="77777777" w:rsidR="00790DB1" w:rsidRPr="00C411F0" w:rsidRDefault="00790DB1" w:rsidP="00EF0061">
            <w:pPr>
              <w:widowControl w:val="0"/>
              <w:tabs>
                <w:tab w:val="right" w:leader="dot" w:pos="7920"/>
              </w:tabs>
              <w:spacing w:before="40" w:after="40" w:line="340" w:lineRule="exact"/>
              <w:jc w:val="center"/>
              <w:rPr>
                <w:color w:val="000000" w:themeColor="text1"/>
                <w:lang w:val="vi-VN"/>
              </w:rPr>
            </w:pPr>
            <w:r w:rsidRPr="00C411F0">
              <w:rPr>
                <w:color w:val="000000" w:themeColor="text1"/>
                <w:lang w:val="vi-VN"/>
              </w:rPr>
              <w:t>5</w:t>
            </w:r>
          </w:p>
        </w:tc>
      </w:tr>
    </w:tbl>
    <w:p w14:paraId="7A29D604" w14:textId="335B68F6" w:rsidR="00BB2AF1" w:rsidRPr="00C411F0" w:rsidRDefault="00BF4482" w:rsidP="003766F3">
      <w:pPr>
        <w:tabs>
          <w:tab w:val="left" w:pos="2282"/>
        </w:tabs>
        <w:rPr>
          <w:color w:val="000000" w:themeColor="text1"/>
          <w:lang w:val="vi-VN"/>
        </w:rPr>
        <w:sectPr w:rsidR="00BB2AF1" w:rsidRPr="00C411F0" w:rsidSect="004D3F60">
          <w:footerReference w:type="even" r:id="rId15"/>
          <w:footerReference w:type="default" r:id="rId16"/>
          <w:pgSz w:w="11901" w:h="16840" w:code="9"/>
          <w:pgMar w:top="1134" w:right="1134" w:bottom="1134" w:left="1701" w:header="709" w:footer="709" w:gutter="0"/>
          <w:cols w:space="708"/>
          <w:docGrid w:linePitch="381"/>
        </w:sectPr>
      </w:pPr>
      <w:r>
        <w:rPr>
          <w:noProof/>
        </w:rPr>
        <w:drawing>
          <wp:anchor distT="0" distB="0" distL="114300" distR="114300" simplePos="0" relativeHeight="251682816" behindDoc="0" locked="0" layoutInCell="1" allowOverlap="1" wp14:anchorId="40094510" wp14:editId="1C7A62D4">
            <wp:simplePos x="0" y="0"/>
            <wp:positionH relativeFrom="column">
              <wp:posOffset>1007971</wp:posOffset>
            </wp:positionH>
            <wp:positionV relativeFrom="paragraph">
              <wp:posOffset>825898</wp:posOffset>
            </wp:positionV>
            <wp:extent cx="4338491" cy="2696068"/>
            <wp:effectExtent l="0" t="0" r="5080" b="9525"/>
            <wp:wrapNone/>
            <wp:docPr id="3" name="Chart 3">
              <a:extLst xmlns:a="http://schemas.openxmlformats.org/drawingml/2006/main">
                <a:ext uri="{FF2B5EF4-FFF2-40B4-BE49-F238E27FC236}">
                  <a16:creationId xmlns:a16="http://schemas.microsoft.com/office/drawing/2014/main" id="{106AF01F-E71B-6EDA-A016-6DB0B792C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07F79C3" w14:textId="6CC276EE" w:rsidR="00E05C52" w:rsidRDefault="00BF4482" w:rsidP="001F5C2A">
      <w:pPr>
        <w:widowControl w:val="0"/>
        <w:tabs>
          <w:tab w:val="right" w:leader="dot" w:pos="7920"/>
        </w:tabs>
        <w:spacing w:before="80" w:line="376" w:lineRule="exact"/>
        <w:jc w:val="both"/>
        <w:rPr>
          <w:i/>
          <w:iCs/>
          <w:color w:val="000000" w:themeColor="text1"/>
          <w:lang w:val="vi-VN"/>
        </w:rPr>
      </w:pPr>
      <w:r>
        <w:rPr>
          <w:noProof/>
        </w:rPr>
        <w:lastRenderedPageBreak/>
        <w:drawing>
          <wp:anchor distT="0" distB="0" distL="114300" distR="114300" simplePos="0" relativeHeight="251683840" behindDoc="0" locked="0" layoutInCell="1" allowOverlap="1" wp14:anchorId="0DB53BD1" wp14:editId="008E7534">
            <wp:simplePos x="0" y="0"/>
            <wp:positionH relativeFrom="column">
              <wp:posOffset>520065</wp:posOffset>
            </wp:positionH>
            <wp:positionV relativeFrom="paragraph">
              <wp:posOffset>118110</wp:posOffset>
            </wp:positionV>
            <wp:extent cx="4931410" cy="3162300"/>
            <wp:effectExtent l="0" t="0" r="8890" b="12700"/>
            <wp:wrapNone/>
            <wp:docPr id="9" name="Chart 9">
              <a:extLst xmlns:a="http://schemas.openxmlformats.org/drawingml/2006/main">
                <a:ext uri="{FF2B5EF4-FFF2-40B4-BE49-F238E27FC236}">
                  <a16:creationId xmlns:a16="http://schemas.microsoft.com/office/drawing/2014/main" id="{8E2B503A-AE8D-790B-0A22-D5ABBDFF0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D2692B6" w14:textId="7E0F09A0" w:rsidR="00E05C52" w:rsidRPr="00C411F0" w:rsidRDefault="00E05C52" w:rsidP="001F5C2A">
      <w:pPr>
        <w:widowControl w:val="0"/>
        <w:tabs>
          <w:tab w:val="right" w:leader="dot" w:pos="7920"/>
        </w:tabs>
        <w:spacing w:before="80" w:line="376" w:lineRule="exact"/>
        <w:jc w:val="both"/>
        <w:rPr>
          <w:i/>
          <w:iCs/>
          <w:color w:val="000000" w:themeColor="text1"/>
          <w:lang w:val="vi-VN"/>
        </w:rPr>
      </w:pPr>
    </w:p>
    <w:p w14:paraId="57F5D33C" w14:textId="0332B809" w:rsidR="00E05C52" w:rsidRPr="00C411F0" w:rsidRDefault="00E05C52" w:rsidP="001F5C2A">
      <w:pPr>
        <w:widowControl w:val="0"/>
        <w:tabs>
          <w:tab w:val="right" w:leader="dot" w:pos="7920"/>
        </w:tabs>
        <w:spacing w:before="80" w:line="376" w:lineRule="exact"/>
        <w:jc w:val="both"/>
        <w:rPr>
          <w:i/>
          <w:iCs/>
          <w:color w:val="000000" w:themeColor="text1"/>
          <w:lang w:val="vi-VN"/>
        </w:rPr>
      </w:pPr>
    </w:p>
    <w:p w14:paraId="1990148F" w14:textId="5419246F" w:rsidR="00E05C52" w:rsidRPr="00C411F0" w:rsidRDefault="00E05C52" w:rsidP="001F5C2A">
      <w:pPr>
        <w:widowControl w:val="0"/>
        <w:tabs>
          <w:tab w:val="right" w:leader="dot" w:pos="7920"/>
        </w:tabs>
        <w:spacing w:before="80" w:line="376" w:lineRule="exact"/>
        <w:jc w:val="both"/>
        <w:rPr>
          <w:i/>
          <w:iCs/>
          <w:color w:val="000000" w:themeColor="text1"/>
          <w:lang w:val="vi-VN"/>
        </w:rPr>
      </w:pPr>
    </w:p>
    <w:p w14:paraId="6477F654" w14:textId="378221C7" w:rsidR="00E05C52" w:rsidRPr="00C411F0" w:rsidRDefault="00E05C52" w:rsidP="001F5C2A">
      <w:pPr>
        <w:widowControl w:val="0"/>
        <w:tabs>
          <w:tab w:val="right" w:leader="dot" w:pos="7920"/>
        </w:tabs>
        <w:spacing w:before="80" w:line="376" w:lineRule="exact"/>
        <w:jc w:val="both"/>
        <w:rPr>
          <w:i/>
          <w:iCs/>
          <w:color w:val="000000" w:themeColor="text1"/>
          <w:lang w:val="vi-VN"/>
        </w:rPr>
      </w:pPr>
    </w:p>
    <w:p w14:paraId="38F111C5" w14:textId="75F29EA9" w:rsidR="00E05C52" w:rsidRPr="00C411F0" w:rsidRDefault="00E05C52" w:rsidP="001F5C2A">
      <w:pPr>
        <w:widowControl w:val="0"/>
        <w:tabs>
          <w:tab w:val="right" w:leader="dot" w:pos="7920"/>
        </w:tabs>
        <w:spacing w:before="80" w:line="376" w:lineRule="exact"/>
        <w:jc w:val="both"/>
        <w:rPr>
          <w:i/>
          <w:iCs/>
          <w:color w:val="000000" w:themeColor="text1"/>
          <w:lang w:val="vi-VN"/>
        </w:rPr>
      </w:pPr>
    </w:p>
    <w:p w14:paraId="0FF75B4B" w14:textId="747301E4" w:rsidR="001F5C2A" w:rsidRPr="00C411F0" w:rsidRDefault="001F5C2A" w:rsidP="001F5C2A">
      <w:pPr>
        <w:widowControl w:val="0"/>
        <w:tabs>
          <w:tab w:val="right" w:leader="dot" w:pos="7920"/>
        </w:tabs>
        <w:spacing w:before="80" w:line="376" w:lineRule="exact"/>
        <w:jc w:val="both"/>
        <w:rPr>
          <w:i/>
          <w:iCs/>
          <w:color w:val="000000" w:themeColor="text1"/>
          <w:lang w:val="vi-VN"/>
        </w:rPr>
      </w:pPr>
    </w:p>
    <w:p w14:paraId="11876364" w14:textId="796D1CC8" w:rsidR="001F5C2A" w:rsidRPr="00C411F0" w:rsidRDefault="001F5C2A" w:rsidP="001F5C2A">
      <w:pPr>
        <w:pStyle w:val="ListParagraph"/>
        <w:widowControl w:val="0"/>
        <w:tabs>
          <w:tab w:val="right" w:leader="dot" w:pos="7920"/>
        </w:tabs>
        <w:spacing w:before="80" w:line="376" w:lineRule="exact"/>
        <w:ind w:left="814"/>
        <w:jc w:val="both"/>
        <w:rPr>
          <w:i/>
          <w:iCs/>
          <w:color w:val="000000" w:themeColor="text1"/>
          <w:lang w:val="vi-VN"/>
        </w:rPr>
      </w:pPr>
    </w:p>
    <w:p w14:paraId="7FEE63F2" w14:textId="7F40DEA2" w:rsidR="00414A5D" w:rsidRPr="00C411F0" w:rsidRDefault="00414A5D" w:rsidP="001F5C2A">
      <w:pPr>
        <w:pStyle w:val="ListParagraph"/>
        <w:widowControl w:val="0"/>
        <w:tabs>
          <w:tab w:val="right" w:leader="dot" w:pos="7920"/>
        </w:tabs>
        <w:spacing w:before="80" w:line="376" w:lineRule="exact"/>
        <w:ind w:left="814"/>
        <w:jc w:val="both"/>
        <w:rPr>
          <w:i/>
          <w:iCs/>
          <w:color w:val="000000" w:themeColor="text1"/>
          <w:lang w:val="vi-VN"/>
        </w:rPr>
      </w:pPr>
    </w:p>
    <w:p w14:paraId="76678214" w14:textId="4E0EF24B" w:rsidR="00414A5D" w:rsidRPr="00C411F0" w:rsidRDefault="00414A5D" w:rsidP="001F5C2A">
      <w:pPr>
        <w:pStyle w:val="ListParagraph"/>
        <w:widowControl w:val="0"/>
        <w:tabs>
          <w:tab w:val="right" w:leader="dot" w:pos="7920"/>
        </w:tabs>
        <w:spacing w:before="80" w:line="376" w:lineRule="exact"/>
        <w:ind w:left="814"/>
        <w:jc w:val="both"/>
        <w:rPr>
          <w:i/>
          <w:iCs/>
          <w:color w:val="000000" w:themeColor="text1"/>
          <w:lang w:val="vi-VN"/>
        </w:rPr>
      </w:pPr>
    </w:p>
    <w:p w14:paraId="302FC088" w14:textId="210B3F95" w:rsidR="00414A5D" w:rsidRPr="00C411F0" w:rsidRDefault="00414A5D" w:rsidP="001F5C2A">
      <w:pPr>
        <w:pStyle w:val="ListParagraph"/>
        <w:widowControl w:val="0"/>
        <w:tabs>
          <w:tab w:val="right" w:leader="dot" w:pos="7920"/>
        </w:tabs>
        <w:spacing w:before="80" w:line="376" w:lineRule="exact"/>
        <w:ind w:left="814"/>
        <w:jc w:val="both"/>
        <w:rPr>
          <w:i/>
          <w:iCs/>
          <w:color w:val="000000" w:themeColor="text1"/>
          <w:lang w:val="vi-VN"/>
        </w:rPr>
      </w:pPr>
    </w:p>
    <w:p w14:paraId="393FC78B" w14:textId="22142E59" w:rsidR="00414A5D" w:rsidRPr="00C411F0" w:rsidRDefault="00414A5D" w:rsidP="001F5C2A">
      <w:pPr>
        <w:pStyle w:val="ListParagraph"/>
        <w:widowControl w:val="0"/>
        <w:tabs>
          <w:tab w:val="right" w:leader="dot" w:pos="7920"/>
        </w:tabs>
        <w:spacing w:before="80" w:line="376" w:lineRule="exact"/>
        <w:ind w:left="814"/>
        <w:jc w:val="both"/>
        <w:rPr>
          <w:i/>
          <w:iCs/>
          <w:color w:val="000000" w:themeColor="text1"/>
          <w:lang w:val="vi-VN"/>
        </w:rPr>
      </w:pPr>
    </w:p>
    <w:p w14:paraId="27FDD009" w14:textId="7A362A3B" w:rsidR="007C3B35" w:rsidRPr="00A41810" w:rsidRDefault="007C3B35" w:rsidP="00A41810">
      <w:pPr>
        <w:widowControl w:val="0"/>
        <w:tabs>
          <w:tab w:val="right" w:leader="dot" w:pos="7920"/>
        </w:tabs>
        <w:spacing w:before="80" w:line="376" w:lineRule="exact"/>
        <w:jc w:val="both"/>
        <w:rPr>
          <w:i/>
          <w:iCs/>
          <w:color w:val="000000" w:themeColor="text1"/>
          <w:lang w:val="vi-VN"/>
        </w:rPr>
      </w:pPr>
      <w:r w:rsidRPr="00C411F0">
        <w:rPr>
          <w:noProof/>
        </w:rPr>
        <mc:AlternateContent>
          <mc:Choice Requires="wps">
            <w:drawing>
              <wp:anchor distT="0" distB="0" distL="114300" distR="114300" simplePos="0" relativeHeight="251670528" behindDoc="0" locked="0" layoutInCell="1" allowOverlap="1" wp14:anchorId="19747B61" wp14:editId="38503381">
                <wp:simplePos x="0" y="0"/>
                <wp:positionH relativeFrom="column">
                  <wp:posOffset>441353</wp:posOffset>
                </wp:positionH>
                <wp:positionV relativeFrom="paragraph">
                  <wp:posOffset>165045</wp:posOffset>
                </wp:positionV>
                <wp:extent cx="5387008" cy="1938131"/>
                <wp:effectExtent l="0" t="0" r="10795" b="17780"/>
                <wp:wrapNone/>
                <wp:docPr id="8" name="Text Box 8"/>
                <wp:cNvGraphicFramePr/>
                <a:graphic xmlns:a="http://schemas.openxmlformats.org/drawingml/2006/main">
                  <a:graphicData uri="http://schemas.microsoft.com/office/word/2010/wordprocessingShape">
                    <wps:wsp>
                      <wps:cNvSpPr txBox="1"/>
                      <wps:spPr>
                        <a:xfrm>
                          <a:off x="0" y="0"/>
                          <a:ext cx="5387008" cy="1938131"/>
                        </a:xfrm>
                        <a:prstGeom prst="rect">
                          <a:avLst/>
                        </a:prstGeom>
                        <a:solidFill>
                          <a:schemeClr val="bg1">
                            <a:lumMod val="95000"/>
                          </a:schemeClr>
                        </a:solidFill>
                        <a:ln w="6350">
                          <a:solidFill>
                            <a:prstClr val="black"/>
                          </a:solidFill>
                        </a:ln>
                      </wps:spPr>
                      <wps:txbx>
                        <w:txbxContent>
                          <w:p w14:paraId="73707579" w14:textId="138218A0"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Các đồ thị trên biểu diễn tương quan tác động tích cực, tiêu cực giữa các phương án đề xuất đối với 05 khía cạnh theo quy định (với điểm số đánh giá đã trình bày trên Bảng </w:t>
                            </w:r>
                            <w:r w:rsidR="00A94C0E">
                              <w:rPr>
                                <w:i/>
                                <w:iCs/>
                                <w:sz w:val="24"/>
                                <w:szCs w:val="24"/>
                                <w:lang w:val="vi-VN"/>
                              </w:rPr>
                              <w:t>2</w:t>
                            </w:r>
                            <w:r w:rsidRPr="007C3B35">
                              <w:rPr>
                                <w:i/>
                                <w:iCs/>
                                <w:sz w:val="24"/>
                                <w:szCs w:val="24"/>
                                <w:lang w:val="vi-VN"/>
                              </w:rPr>
                              <w:t xml:space="preserve">). </w:t>
                            </w:r>
                          </w:p>
                          <w:p w14:paraId="3C579CB7" w14:textId="77777777"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tích cực: giá trị nhỏ nhất (bằng 0) ứng với việc không có tác động; giá trị càng lớn ứng với tác động tích cực/lợi ích càng cao; phương án ứng với đường biểu diễn nằm ngoài cùng là phương án có lợi ích cao nhất. </w:t>
                            </w:r>
                          </w:p>
                          <w:p w14:paraId="0823F8C4" w14:textId="00F76C80"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tiêu cực: giá trị biên (bằng 0) ứng với việc không có tác động; giá trị càng âm đồng nghĩa với tác động tiêu cực/chi phí càng cao; phương án ứng với đường biểu diễn nằm ngoài cùng là phương án có tác động tiêu cực nhỏ nhất. </w:t>
                            </w:r>
                          </w:p>
                          <w:p w14:paraId="670B3A56" w14:textId="77777777" w:rsidR="00EF0061" w:rsidRPr="009605FD" w:rsidRDefault="00EF0061" w:rsidP="007C3B3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7B61" id="Text Box 8" o:spid="_x0000_s1027" type="#_x0000_t202" style="position:absolute;left:0;text-align:left;margin-left:34.75pt;margin-top:13pt;width:424.15pt;height:1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" fillcolor="#f2f2f2 [3052]" strokeweight=".5pt">
                <v:textbox>
                  <w:txbxContent>
                    <w:p w14:paraId="73707579" w14:textId="138218A0"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Các đồ thị trên biểu diễn tương quan tác động tích cực, tiêu cực giữa các phương án đề xuất đối với 05 khía cạnh theo quy định (với điểm số đánh giá đã trình bày trên Bảng </w:t>
                      </w:r>
                      <w:r w:rsidR="00A94C0E">
                        <w:rPr>
                          <w:i/>
                          <w:iCs/>
                          <w:sz w:val="24"/>
                          <w:szCs w:val="24"/>
                          <w:lang w:val="vi-VN"/>
                        </w:rPr>
                        <w:t>2</w:t>
                      </w:r>
                      <w:r w:rsidRPr="007C3B35">
                        <w:rPr>
                          <w:i/>
                          <w:iCs/>
                          <w:sz w:val="24"/>
                          <w:szCs w:val="24"/>
                          <w:lang w:val="vi-VN"/>
                        </w:rPr>
                        <w:t xml:space="preserve">). </w:t>
                      </w:r>
                    </w:p>
                    <w:p w14:paraId="3C579CB7" w14:textId="77777777"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tích cực: giá trị nhỏ nhất (bằng 0) ứng với việc không có tác động; giá trị càng lớn ứng với tác động tích cực/lợi ích càng cao; phương án ứng với đường biểu diễn nằm ngoài cùng là phương án có lợi ích cao nhất. </w:t>
                      </w:r>
                    </w:p>
                    <w:p w14:paraId="0823F8C4" w14:textId="00F76C80" w:rsidR="00EF0061" w:rsidRPr="007C3B35" w:rsidRDefault="00EF0061" w:rsidP="007C3B35">
                      <w:pPr>
                        <w:widowControl w:val="0"/>
                        <w:tabs>
                          <w:tab w:val="right" w:leader="dot" w:pos="7920"/>
                        </w:tabs>
                        <w:spacing w:before="120" w:after="120"/>
                        <w:ind w:firstLine="454"/>
                        <w:jc w:val="both"/>
                        <w:rPr>
                          <w:i/>
                          <w:iCs/>
                          <w:sz w:val="24"/>
                          <w:szCs w:val="24"/>
                          <w:lang w:val="vi-VN"/>
                        </w:rPr>
                      </w:pPr>
                      <w:r w:rsidRPr="007C3B35">
                        <w:rPr>
                          <w:i/>
                          <w:iCs/>
                          <w:sz w:val="24"/>
                          <w:szCs w:val="24"/>
                          <w:lang w:val="vi-VN"/>
                        </w:rPr>
                        <w:t xml:space="preserve">Đối với đồ thị tác động tiêu cực: giá trị biên (bằng 0) ứng với việc không có tác động; giá trị càng âm đồng nghĩa với tác động tiêu cực/chi phí càng cao; phương án ứng với đường biểu diễn nằm ngoài cùng là phương án có tác động tiêu cực nhỏ nhất. </w:t>
                      </w:r>
                    </w:p>
                    <w:p w14:paraId="670B3A56" w14:textId="77777777" w:rsidR="00EF0061" w:rsidRPr="009605FD" w:rsidRDefault="00EF0061" w:rsidP="007C3B35">
                      <w:pPr>
                        <w:rPr>
                          <w:lang w:val="vi-VN"/>
                        </w:rPr>
                      </w:pPr>
                    </w:p>
                  </w:txbxContent>
                </v:textbox>
              </v:shape>
            </w:pict>
          </mc:Fallback>
        </mc:AlternateContent>
      </w:r>
    </w:p>
    <w:p w14:paraId="0062405A" w14:textId="67EA2702" w:rsidR="007C3B35" w:rsidRPr="00C411F0" w:rsidRDefault="007C3B35" w:rsidP="001F5C2A">
      <w:pPr>
        <w:pStyle w:val="ListParagraph"/>
        <w:widowControl w:val="0"/>
        <w:tabs>
          <w:tab w:val="right" w:leader="dot" w:pos="7920"/>
        </w:tabs>
        <w:spacing w:before="80" w:line="376" w:lineRule="exact"/>
        <w:ind w:left="814"/>
        <w:jc w:val="both"/>
        <w:rPr>
          <w:i/>
          <w:iCs/>
          <w:color w:val="000000" w:themeColor="text1"/>
          <w:lang w:val="vi-VN"/>
        </w:rPr>
      </w:pPr>
    </w:p>
    <w:p w14:paraId="4B185208" w14:textId="77777777" w:rsidR="007C3B35" w:rsidRPr="00C411F0" w:rsidRDefault="007C3B35" w:rsidP="00D32BAB">
      <w:pPr>
        <w:widowControl w:val="0"/>
        <w:tabs>
          <w:tab w:val="right" w:leader="dot" w:pos="7920"/>
        </w:tabs>
        <w:spacing w:before="240" w:after="120" w:line="376" w:lineRule="exact"/>
        <w:ind w:firstLine="454"/>
        <w:jc w:val="center"/>
        <w:rPr>
          <w:i/>
          <w:iCs/>
          <w:color w:val="000000" w:themeColor="text1"/>
          <w:lang w:val="vi-VN"/>
        </w:rPr>
      </w:pPr>
    </w:p>
    <w:p w14:paraId="1B7AC869" w14:textId="77777777" w:rsidR="007C3B35" w:rsidRPr="00C411F0" w:rsidRDefault="007C3B35" w:rsidP="00D32BAB">
      <w:pPr>
        <w:widowControl w:val="0"/>
        <w:tabs>
          <w:tab w:val="right" w:leader="dot" w:pos="7920"/>
        </w:tabs>
        <w:spacing w:before="240" w:after="120" w:line="376" w:lineRule="exact"/>
        <w:ind w:firstLine="454"/>
        <w:jc w:val="center"/>
        <w:rPr>
          <w:i/>
          <w:iCs/>
          <w:color w:val="000000" w:themeColor="text1"/>
          <w:lang w:val="vi-VN"/>
        </w:rPr>
      </w:pPr>
    </w:p>
    <w:p w14:paraId="1E46FD55" w14:textId="77777777" w:rsidR="007C3B35" w:rsidRPr="00C411F0" w:rsidRDefault="007C3B35" w:rsidP="00D32BAB">
      <w:pPr>
        <w:widowControl w:val="0"/>
        <w:tabs>
          <w:tab w:val="right" w:leader="dot" w:pos="7920"/>
        </w:tabs>
        <w:spacing w:before="240" w:after="120" w:line="376" w:lineRule="exact"/>
        <w:ind w:firstLine="454"/>
        <w:jc w:val="center"/>
        <w:rPr>
          <w:i/>
          <w:iCs/>
          <w:color w:val="000000" w:themeColor="text1"/>
          <w:lang w:val="vi-VN"/>
        </w:rPr>
      </w:pPr>
    </w:p>
    <w:p w14:paraId="38CDDCF6" w14:textId="77777777" w:rsidR="007C3B35" w:rsidRPr="00C411F0" w:rsidRDefault="007C3B35" w:rsidP="007C3B35">
      <w:pPr>
        <w:widowControl w:val="0"/>
        <w:tabs>
          <w:tab w:val="right" w:leader="dot" w:pos="7920"/>
        </w:tabs>
        <w:spacing w:before="240" w:after="120" w:line="376" w:lineRule="exact"/>
        <w:rPr>
          <w:i/>
          <w:iCs/>
          <w:color w:val="000000" w:themeColor="text1"/>
          <w:lang w:val="vi-VN"/>
        </w:rPr>
      </w:pPr>
    </w:p>
    <w:p w14:paraId="4C588703" w14:textId="06E697B9" w:rsidR="00A151CB" w:rsidRPr="00C411F0" w:rsidRDefault="00A151CB" w:rsidP="00D32BAB">
      <w:pPr>
        <w:widowControl w:val="0"/>
        <w:tabs>
          <w:tab w:val="right" w:leader="dot" w:pos="7920"/>
        </w:tabs>
        <w:spacing w:before="240" w:after="120" w:line="376" w:lineRule="exact"/>
        <w:ind w:firstLine="454"/>
        <w:jc w:val="center"/>
        <w:rPr>
          <w:i/>
          <w:iCs/>
          <w:color w:val="000000" w:themeColor="text1"/>
          <w:lang w:val="vi-VN"/>
        </w:rPr>
      </w:pPr>
      <w:r w:rsidRPr="00C411F0">
        <w:rPr>
          <w:i/>
          <w:iCs/>
          <w:color w:val="000000" w:themeColor="text1"/>
          <w:lang w:val="vi-VN"/>
        </w:rPr>
        <w:t xml:space="preserve">Hình 5. So sánh tác động tích cực và tiêu cực giữa </w:t>
      </w:r>
      <w:r w:rsidR="00D32BAB" w:rsidRPr="00C411F0">
        <w:rPr>
          <w:i/>
          <w:iCs/>
          <w:color w:val="000000" w:themeColor="text1"/>
          <w:lang w:val="vi-VN"/>
        </w:rPr>
        <w:t>0</w:t>
      </w:r>
      <w:r w:rsidR="00A94C0E">
        <w:rPr>
          <w:i/>
          <w:iCs/>
          <w:color w:val="000000" w:themeColor="text1"/>
          <w:lang w:val="vi-VN"/>
        </w:rPr>
        <w:t>3</w:t>
      </w:r>
      <w:r w:rsidRPr="00C411F0">
        <w:rPr>
          <w:i/>
          <w:iCs/>
          <w:color w:val="000000" w:themeColor="text1"/>
          <w:lang w:val="vi-VN"/>
        </w:rPr>
        <w:t xml:space="preserve"> phương án đề xuất</w:t>
      </w:r>
    </w:p>
    <w:p w14:paraId="4576359B" w14:textId="32320C94" w:rsidR="0051240C" w:rsidRPr="007054F5" w:rsidRDefault="00A151CB" w:rsidP="0051240C">
      <w:pPr>
        <w:widowControl w:val="0"/>
        <w:tabs>
          <w:tab w:val="right" w:leader="dot" w:pos="7920"/>
        </w:tabs>
        <w:spacing w:before="80" w:line="376" w:lineRule="exact"/>
        <w:ind w:firstLine="454"/>
        <w:jc w:val="both"/>
        <w:rPr>
          <w:i/>
          <w:iCs/>
          <w:color w:val="000000" w:themeColor="text1"/>
          <w:lang w:val="vi-VN"/>
        </w:rPr>
      </w:pPr>
      <w:r w:rsidRPr="00C411F0">
        <w:rPr>
          <w:i/>
          <w:iCs/>
          <w:color w:val="000000" w:themeColor="text1"/>
          <w:lang w:val="vi-VN"/>
        </w:rPr>
        <w:t xml:space="preserve">Với kết quả </w:t>
      </w:r>
      <w:r w:rsidR="007C3B35" w:rsidRPr="00C411F0">
        <w:rPr>
          <w:i/>
          <w:iCs/>
          <w:color w:val="000000" w:themeColor="text1"/>
          <w:lang w:val="vi-VN"/>
        </w:rPr>
        <w:t xml:space="preserve">phân tích, </w:t>
      </w:r>
      <w:r w:rsidRPr="00C411F0">
        <w:rPr>
          <w:i/>
          <w:iCs/>
          <w:color w:val="000000" w:themeColor="text1"/>
          <w:lang w:val="vi-VN"/>
        </w:rPr>
        <w:t>so sánh</w:t>
      </w:r>
      <w:r w:rsidR="007C3B35" w:rsidRPr="00C411F0">
        <w:rPr>
          <w:i/>
          <w:iCs/>
          <w:color w:val="000000" w:themeColor="text1"/>
          <w:lang w:val="vi-VN"/>
        </w:rPr>
        <w:t xml:space="preserve"> các tác động tích cực, tiêu cực của </w:t>
      </w:r>
      <w:r w:rsidR="00BF4482">
        <w:rPr>
          <w:i/>
          <w:iCs/>
          <w:color w:val="000000" w:themeColor="text1"/>
          <w:lang w:val="vi-VN"/>
        </w:rPr>
        <w:t xml:space="preserve">các </w:t>
      </w:r>
      <w:r w:rsidR="007C3B35" w:rsidRPr="00C411F0">
        <w:rPr>
          <w:i/>
          <w:iCs/>
          <w:color w:val="000000" w:themeColor="text1"/>
          <w:lang w:val="vi-VN"/>
        </w:rPr>
        <w:t>phương án đề xuất nêu</w:t>
      </w:r>
      <w:r w:rsidRPr="00C411F0">
        <w:rPr>
          <w:i/>
          <w:iCs/>
          <w:color w:val="000000" w:themeColor="text1"/>
          <w:lang w:val="vi-VN"/>
        </w:rPr>
        <w:t xml:space="preserve"> trên,</w:t>
      </w:r>
      <w:r w:rsidR="00BF4482">
        <w:rPr>
          <w:i/>
          <w:iCs/>
          <w:color w:val="000000" w:themeColor="text1"/>
          <w:lang w:val="vi-VN"/>
        </w:rPr>
        <w:t xml:space="preserve"> với những ưu thế, lợi ích vượt trội về mặt kinh tế, xã hội, môi trường và tính đồng bộ hệ thống pháp luật,</w:t>
      </w:r>
      <w:r w:rsidRPr="00C411F0">
        <w:rPr>
          <w:i/>
          <w:iCs/>
          <w:color w:val="000000" w:themeColor="text1"/>
          <w:lang w:val="vi-VN"/>
        </w:rPr>
        <w:t xml:space="preserve"> Bộ Tài nguyên và Môi trường kiến nghị</w:t>
      </w:r>
      <w:r w:rsidR="00BF4482">
        <w:rPr>
          <w:i/>
          <w:iCs/>
          <w:color w:val="000000" w:themeColor="text1"/>
          <w:lang w:val="vi-VN"/>
        </w:rPr>
        <w:t xml:space="preserve"> lựa chọn Phương án 1 (như</w:t>
      </w:r>
      <w:r w:rsidRPr="00C411F0">
        <w:rPr>
          <w:i/>
          <w:iCs/>
          <w:color w:val="000000" w:themeColor="text1"/>
          <w:lang w:val="vi-VN"/>
        </w:rPr>
        <w:t xml:space="preserve"> </w:t>
      </w:r>
      <w:r w:rsidR="007C3B35" w:rsidRPr="00C411F0">
        <w:rPr>
          <w:i/>
          <w:iCs/>
          <w:color w:val="000000" w:themeColor="text1"/>
          <w:lang w:val="vi-VN"/>
        </w:rPr>
        <w:t>Dự thảo Quyết định</w:t>
      </w:r>
      <w:r w:rsidR="00BF4482">
        <w:rPr>
          <w:i/>
          <w:iCs/>
          <w:color w:val="000000" w:themeColor="text1"/>
          <w:lang w:val="vi-VN"/>
        </w:rPr>
        <w:t xml:space="preserve">) </w:t>
      </w:r>
      <w:r w:rsidRPr="00C411F0">
        <w:rPr>
          <w:i/>
          <w:iCs/>
          <w:color w:val="000000" w:themeColor="text1"/>
          <w:lang w:val="vi-VN"/>
        </w:rPr>
        <w:t xml:space="preserve">– </w:t>
      </w:r>
      <w:r w:rsidR="0051240C" w:rsidRPr="007054F5">
        <w:rPr>
          <w:i/>
          <w:iCs/>
          <w:color w:val="000000" w:themeColor="text1"/>
          <w:lang w:val="vi-VN"/>
        </w:rPr>
        <w:t>Chỉ bắt buộc xác nhận dự án xanh đối với các dự án chuyển đổi xanh và việc xác nhận được thực hiện thông qua cơ quan quản lý nhà nước có thẩm quyền về bảo vệ môi trường. Trường hợp các loại hình dự án còn lại nếu chủ dự án có nhu cầu xác nhận dự án xanh (tự nguyện đề nghị xác nhận) thì việc xác nhận được thực hiện thông qua các tổ chức đánh giá, xác nhận độc lập (</w:t>
      </w:r>
      <w:r w:rsidR="0051240C">
        <w:rPr>
          <w:i/>
          <w:iCs/>
          <w:color w:val="000000" w:themeColor="text1"/>
          <w:lang w:val="vi-VN"/>
        </w:rPr>
        <w:t xml:space="preserve">hình thức </w:t>
      </w:r>
      <w:r w:rsidR="0051240C" w:rsidRPr="007054F5">
        <w:rPr>
          <w:i/>
          <w:iCs/>
          <w:color w:val="000000" w:themeColor="text1"/>
          <w:lang w:val="vi-VN"/>
        </w:rPr>
        <w:t>xã hội hoá).</w:t>
      </w:r>
    </w:p>
    <w:p w14:paraId="1C39AA98" w14:textId="0129D1A2" w:rsidR="00722AA9" w:rsidRPr="00C411F0" w:rsidRDefault="00A1012B" w:rsidP="007054F5">
      <w:pPr>
        <w:widowControl w:val="0"/>
        <w:tabs>
          <w:tab w:val="right" w:leader="dot" w:pos="7920"/>
        </w:tabs>
        <w:spacing w:before="80" w:line="376" w:lineRule="exact"/>
        <w:ind w:firstLine="454"/>
        <w:jc w:val="both"/>
        <w:rPr>
          <w:i/>
          <w:iCs/>
          <w:color w:val="000000" w:themeColor="text1"/>
          <w:lang w:val="vi-VN"/>
        </w:rPr>
      </w:pPr>
      <w:r w:rsidRPr="00A41810">
        <w:rPr>
          <w:i/>
          <w:iCs/>
          <w:color w:val="000000" w:themeColor="text1"/>
          <w:lang w:val="vi-VN"/>
        </w:rPr>
        <w:t xml:space="preserve">Khi triển khai theo Phương án này, để đáp ứng được mục tiêu kỳ vọng, cần lưu ý rà soát sửa đổi, bổ sung </w:t>
      </w:r>
      <w:r>
        <w:rPr>
          <w:i/>
          <w:iCs/>
          <w:color w:val="000000" w:themeColor="text1"/>
          <w:lang w:val="vi-VN"/>
        </w:rPr>
        <w:t>một số văn bản pháp luật liên quan</w:t>
      </w:r>
      <w:r w:rsidR="001A6989">
        <w:rPr>
          <w:i/>
          <w:iCs/>
          <w:color w:val="000000" w:themeColor="text1"/>
          <w:lang w:val="vi-VN"/>
        </w:rPr>
        <w:t xml:space="preserve"> trong lĩnh vực kiểm toán, khoa học công nghệ (ví dụ Nghị định số 17/2012/NĐ-CP, Nghị định số 107/2016/NĐ-CP)</w:t>
      </w:r>
      <w:r>
        <w:rPr>
          <w:i/>
          <w:iCs/>
          <w:color w:val="000000" w:themeColor="text1"/>
          <w:lang w:val="vi-VN"/>
        </w:rPr>
        <w:t xml:space="preserve"> để </w:t>
      </w:r>
      <w:r w:rsidR="001A6989">
        <w:rPr>
          <w:i/>
          <w:iCs/>
          <w:color w:val="000000" w:themeColor="text1"/>
          <w:lang w:val="vi-VN"/>
        </w:rPr>
        <w:t xml:space="preserve">làm rõ hoặc </w:t>
      </w:r>
      <w:r>
        <w:rPr>
          <w:i/>
          <w:iCs/>
          <w:color w:val="000000" w:themeColor="text1"/>
          <w:lang w:val="vi-VN"/>
        </w:rPr>
        <w:t>mở rộng chức năng</w:t>
      </w:r>
      <w:r w:rsidR="001A6989">
        <w:rPr>
          <w:i/>
          <w:iCs/>
          <w:color w:val="000000" w:themeColor="text1"/>
          <w:lang w:val="vi-VN"/>
        </w:rPr>
        <w:t xml:space="preserve">, khả năng hoạt động theo </w:t>
      </w:r>
      <w:r w:rsidR="001A6989">
        <w:rPr>
          <w:i/>
          <w:iCs/>
          <w:color w:val="000000" w:themeColor="text1"/>
          <w:lang w:val="vi-VN"/>
        </w:rPr>
        <w:lastRenderedPageBreak/>
        <w:t xml:space="preserve">hướng đa mục tiêu </w:t>
      </w:r>
      <w:r w:rsidR="0049508C">
        <w:rPr>
          <w:i/>
          <w:iCs/>
          <w:color w:val="000000" w:themeColor="text1"/>
          <w:lang w:val="vi-VN"/>
        </w:rPr>
        <w:t xml:space="preserve">cho </w:t>
      </w:r>
      <w:r>
        <w:rPr>
          <w:i/>
          <w:iCs/>
          <w:color w:val="000000" w:themeColor="text1"/>
          <w:lang w:val="vi-VN"/>
        </w:rPr>
        <w:t xml:space="preserve">các tổ chức </w:t>
      </w:r>
      <w:r w:rsidR="001A6989">
        <w:rPr>
          <w:i/>
          <w:iCs/>
          <w:color w:val="000000" w:themeColor="text1"/>
          <w:lang w:val="vi-VN"/>
        </w:rPr>
        <w:t xml:space="preserve">kiểm toán, tổ chức đánh giá sự phù hợp hiện nay cũng như các tổ chức khác </w:t>
      </w:r>
      <w:r>
        <w:rPr>
          <w:i/>
          <w:iCs/>
          <w:color w:val="000000" w:themeColor="text1"/>
          <w:lang w:val="vi-VN"/>
        </w:rPr>
        <w:t>có nguồn lực, khả năng</w:t>
      </w:r>
      <w:r w:rsidR="001A6989">
        <w:rPr>
          <w:i/>
          <w:iCs/>
          <w:color w:val="000000" w:themeColor="text1"/>
          <w:lang w:val="vi-VN"/>
        </w:rPr>
        <w:t xml:space="preserve"> đáp ứng được yêu cầu để xác nhận dự án xanh. Điều này cũng sẽ góp phần quan trọng </w:t>
      </w:r>
      <w:r w:rsidR="0049508C">
        <w:rPr>
          <w:i/>
          <w:iCs/>
          <w:color w:val="000000" w:themeColor="text1"/>
          <w:lang w:val="vi-VN"/>
        </w:rPr>
        <w:t xml:space="preserve">trong việc thể chế hoá các chủ trương của Đảng và Nhà nước về xã hội hoá, </w:t>
      </w:r>
      <w:r w:rsidR="001A6989">
        <w:rPr>
          <w:i/>
          <w:iCs/>
          <w:color w:val="000000" w:themeColor="text1"/>
          <w:lang w:val="vi-VN"/>
        </w:rPr>
        <w:t xml:space="preserve">trong việc hoàn thiện hệ thống </w:t>
      </w:r>
      <w:r w:rsidRPr="00A41810">
        <w:rPr>
          <w:i/>
          <w:iCs/>
          <w:color w:val="000000" w:themeColor="text1"/>
          <w:lang w:val="vi-VN"/>
        </w:rPr>
        <w:t xml:space="preserve">pháp </w:t>
      </w:r>
      <w:r w:rsidR="001A6989">
        <w:rPr>
          <w:i/>
          <w:iCs/>
          <w:color w:val="000000" w:themeColor="text1"/>
          <w:lang w:val="vi-VN"/>
        </w:rPr>
        <w:t>luật trong lĩnh vực bảo vệ môi trường, tài chính xanh</w:t>
      </w:r>
      <w:r w:rsidR="0049508C">
        <w:rPr>
          <w:i/>
          <w:iCs/>
          <w:color w:val="000000" w:themeColor="text1"/>
          <w:lang w:val="vi-VN"/>
        </w:rPr>
        <w:t xml:space="preserve">; </w:t>
      </w:r>
      <w:r w:rsidR="001A6989">
        <w:rPr>
          <w:i/>
          <w:iCs/>
          <w:color w:val="000000" w:themeColor="text1"/>
          <w:lang w:val="vi-VN"/>
        </w:rPr>
        <w:t xml:space="preserve">đẩy nhanh </w:t>
      </w:r>
      <w:r w:rsidRPr="00A41810">
        <w:rPr>
          <w:i/>
          <w:iCs/>
          <w:color w:val="000000" w:themeColor="text1"/>
          <w:lang w:val="vi-VN"/>
        </w:rPr>
        <w:t>tiến trình tái cơ cấu nền kinh tế của Việt Nam theo hướng kinh tế xanh, kinh tế tuần hoàn, kinh tế các-bon thấp; góp phần thực hiện thành công mục tiêu cam kết về phát thải ròng bằng 0 vào năm 2050 của Việt Nam tại COP 26.</w:t>
      </w:r>
    </w:p>
    <w:p w14:paraId="077DF409" w14:textId="0607C188" w:rsidR="000E234D" w:rsidRPr="009605FD" w:rsidRDefault="00347EF0" w:rsidP="00A41810">
      <w:pPr>
        <w:widowControl w:val="0"/>
        <w:tabs>
          <w:tab w:val="right" w:leader="dot" w:pos="7920"/>
        </w:tabs>
        <w:spacing w:before="240" w:after="120" w:line="376" w:lineRule="exact"/>
        <w:ind w:firstLine="720"/>
        <w:jc w:val="both"/>
        <w:rPr>
          <w:b/>
          <w:color w:val="000000" w:themeColor="text1"/>
          <w:lang w:val="vi-VN"/>
        </w:rPr>
      </w:pPr>
      <w:r w:rsidRPr="009605FD">
        <w:rPr>
          <w:b/>
          <w:color w:val="000000" w:themeColor="text1"/>
          <w:lang w:val="vi-VN"/>
        </w:rPr>
        <w:t xml:space="preserve">III. Ý KIẾN THAM VẤN </w:t>
      </w:r>
    </w:p>
    <w:p w14:paraId="4BF4FFD0" w14:textId="0F63B488" w:rsidR="006A1776" w:rsidRPr="00A41810" w:rsidRDefault="006A1776" w:rsidP="007C3B35">
      <w:pPr>
        <w:widowControl w:val="0"/>
        <w:tabs>
          <w:tab w:val="right" w:leader="dot" w:pos="7920"/>
        </w:tabs>
        <w:spacing w:before="120" w:line="340" w:lineRule="exact"/>
        <w:ind w:firstLine="720"/>
        <w:jc w:val="both"/>
        <w:rPr>
          <w:color w:val="000000" w:themeColor="text1"/>
          <w:lang w:val="vi-VN"/>
        </w:rPr>
      </w:pPr>
      <w:r w:rsidRPr="00A41810">
        <w:rPr>
          <w:color w:val="000000" w:themeColor="text1"/>
          <w:lang w:val="vi-VN"/>
        </w:rPr>
        <w:t xml:space="preserve">Báo cáo đánh giá tác động chính sách được tham vấn các chuyên gia trong các phiên họp chuyên đề xây dựng chính sách; tại các phiên họp Tổ soạn thảo xây dựng dự thảo Quyết định; các cuộc họp, trao đổi lấy ý kiến trực tiếp, gián tiếp (email) với các chuyên gia, các đối tượng bị tác động cơ quan quản lý nhà nước, TCTD, tổ chức, cá nhân có liên quan. Trên cơ sở các ý kiến tham vấn, báo cáo được hoàn thiện trong quá trình xây dựng và hoàn thiện Quyết định. </w:t>
      </w:r>
    </w:p>
    <w:p w14:paraId="330EC3D6" w14:textId="77777777" w:rsidR="00347EF0" w:rsidRPr="009605FD" w:rsidRDefault="00347EF0" w:rsidP="00A41810">
      <w:pPr>
        <w:widowControl w:val="0"/>
        <w:tabs>
          <w:tab w:val="right" w:leader="dot" w:pos="7920"/>
        </w:tabs>
        <w:spacing w:before="240" w:after="120" w:line="376" w:lineRule="exact"/>
        <w:ind w:firstLine="720"/>
        <w:jc w:val="both"/>
        <w:rPr>
          <w:b/>
          <w:color w:val="000000" w:themeColor="text1"/>
          <w:lang w:val="vi-VN"/>
        </w:rPr>
      </w:pPr>
      <w:r w:rsidRPr="009605FD">
        <w:rPr>
          <w:b/>
          <w:color w:val="000000" w:themeColor="text1"/>
          <w:lang w:val="vi-VN"/>
        </w:rPr>
        <w:t>IV. GIÁM SÁT VÀ ĐÁNH GIÁ</w:t>
      </w:r>
    </w:p>
    <w:p w14:paraId="2E0232B0" w14:textId="77777777" w:rsidR="006A1776" w:rsidRPr="00C411F0" w:rsidRDefault="006A1776" w:rsidP="007C3B35">
      <w:pPr>
        <w:widowControl w:val="0"/>
        <w:spacing w:before="120" w:after="120" w:line="320" w:lineRule="exact"/>
        <w:ind w:firstLine="720"/>
        <w:jc w:val="both"/>
        <w:rPr>
          <w:color w:val="000000" w:themeColor="text1"/>
          <w:lang w:val="nl-NL"/>
        </w:rPr>
      </w:pPr>
      <w:r w:rsidRPr="00C411F0">
        <w:rPr>
          <w:color w:val="000000" w:themeColor="text1"/>
          <w:lang w:val="nl-NL"/>
        </w:rPr>
        <w:t>1. Cơ quan chịu trách nhiệm tổ chức thực thi chính sách: Bộ Tài nguyên và Môi trường, Ủy ban nhân dân cấp tỉnh.</w:t>
      </w:r>
    </w:p>
    <w:p w14:paraId="255F546B" w14:textId="1DA59203" w:rsidR="006A1776" w:rsidRPr="00C411F0" w:rsidRDefault="006A1776" w:rsidP="007C3B35">
      <w:pPr>
        <w:widowControl w:val="0"/>
        <w:spacing w:before="120" w:after="120" w:line="320" w:lineRule="exact"/>
        <w:ind w:firstLine="720"/>
        <w:jc w:val="both"/>
        <w:rPr>
          <w:color w:val="000000" w:themeColor="text1"/>
          <w:lang w:val="nl-NL"/>
        </w:rPr>
      </w:pPr>
      <w:r w:rsidRPr="00C411F0">
        <w:rPr>
          <w:color w:val="000000" w:themeColor="text1"/>
          <w:lang w:val="nl-NL"/>
        </w:rPr>
        <w:t>2. Cơ quan giám sát thực hiện chính sách: Quốc hội, Hội đồng nhân dân cấp tỉnh./.</w:t>
      </w:r>
    </w:p>
    <w:p w14:paraId="6ED3BE47" w14:textId="77777777" w:rsidR="00C207FB" w:rsidRPr="00DD5403" w:rsidRDefault="00C207FB" w:rsidP="00C207FB">
      <w:pPr>
        <w:spacing w:line="312" w:lineRule="auto"/>
        <w:jc w:val="right"/>
        <w:rPr>
          <w:b/>
          <w:color w:val="000000" w:themeColor="text1"/>
        </w:rPr>
      </w:pPr>
      <w:r w:rsidRPr="00DD5403">
        <w:rPr>
          <w:b/>
          <w:color w:val="000000" w:themeColor="text1"/>
        </w:rPr>
        <w:t>BỘ TÀI NGUYÊN VÀ MÔI TRƯỜNG</w:t>
      </w:r>
    </w:p>
    <w:p w14:paraId="165DC26D" w14:textId="35A16832" w:rsidR="00EF0061" w:rsidRPr="009605FD" w:rsidRDefault="00EF0061" w:rsidP="00347EF0">
      <w:pPr>
        <w:rPr>
          <w:color w:val="000000" w:themeColor="text1"/>
          <w:lang w:val="nl-NL"/>
        </w:rPr>
      </w:pPr>
      <w:bookmarkStart w:id="5" w:name="_GoBack"/>
      <w:bookmarkEnd w:id="5"/>
    </w:p>
    <w:sectPr w:rsidR="00EF0061" w:rsidRPr="009605FD" w:rsidSect="004D3F60">
      <w:pgSz w:w="11901"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D36FC" w14:textId="77777777" w:rsidR="006617F8" w:rsidRDefault="006617F8" w:rsidP="00362176">
      <w:r>
        <w:separator/>
      </w:r>
    </w:p>
  </w:endnote>
  <w:endnote w:type="continuationSeparator" w:id="0">
    <w:p w14:paraId="4D570C51" w14:textId="77777777" w:rsidR="006617F8" w:rsidRDefault="006617F8" w:rsidP="0036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8046342"/>
      <w:docPartObj>
        <w:docPartGallery w:val="Page Numbers (Bottom of Page)"/>
        <w:docPartUnique/>
      </w:docPartObj>
    </w:sdtPr>
    <w:sdtEndPr>
      <w:rPr>
        <w:rStyle w:val="PageNumber"/>
      </w:rPr>
    </w:sdtEndPr>
    <w:sdtContent>
      <w:p w14:paraId="46F4BB51" w14:textId="5E8433CD" w:rsidR="00EF0061" w:rsidRDefault="00EF0061" w:rsidP="00EF0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58F5675" w14:textId="77777777" w:rsidR="00EF0061" w:rsidRDefault="00EF0061" w:rsidP="00BD5B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6"/>
        <w:szCs w:val="26"/>
      </w:rPr>
      <w:id w:val="-817339517"/>
      <w:docPartObj>
        <w:docPartGallery w:val="Page Numbers (Bottom of Page)"/>
        <w:docPartUnique/>
      </w:docPartObj>
    </w:sdtPr>
    <w:sdtEndPr>
      <w:rPr>
        <w:rStyle w:val="PageNumber"/>
      </w:rPr>
    </w:sdtEndPr>
    <w:sdtContent>
      <w:p w14:paraId="7B87A8F0" w14:textId="3DE16FE0" w:rsidR="00EF0061" w:rsidRPr="00EA23FF" w:rsidRDefault="00EF0061" w:rsidP="00EF0061">
        <w:pPr>
          <w:pStyle w:val="Footer"/>
          <w:framePr w:wrap="none" w:vAnchor="text" w:hAnchor="margin" w:xAlign="right" w:y="1"/>
          <w:rPr>
            <w:rStyle w:val="PageNumber"/>
            <w:sz w:val="26"/>
            <w:szCs w:val="26"/>
          </w:rPr>
        </w:pPr>
        <w:r w:rsidRPr="00EA23FF">
          <w:rPr>
            <w:rStyle w:val="PageNumber"/>
            <w:sz w:val="26"/>
            <w:szCs w:val="26"/>
          </w:rPr>
          <w:fldChar w:fldCharType="begin"/>
        </w:r>
        <w:r w:rsidRPr="00EA23FF">
          <w:rPr>
            <w:rStyle w:val="PageNumber"/>
            <w:sz w:val="26"/>
            <w:szCs w:val="26"/>
          </w:rPr>
          <w:instrText xml:space="preserve"> PAGE </w:instrText>
        </w:r>
        <w:r w:rsidRPr="00EA23FF">
          <w:rPr>
            <w:rStyle w:val="PageNumber"/>
            <w:sz w:val="26"/>
            <w:szCs w:val="26"/>
          </w:rPr>
          <w:fldChar w:fldCharType="separate"/>
        </w:r>
        <w:r w:rsidR="00C207FB">
          <w:rPr>
            <w:rStyle w:val="PageNumber"/>
            <w:noProof/>
            <w:sz w:val="26"/>
            <w:szCs w:val="26"/>
          </w:rPr>
          <w:t>38</w:t>
        </w:r>
        <w:r w:rsidRPr="00EA23FF">
          <w:rPr>
            <w:rStyle w:val="PageNumber"/>
            <w:sz w:val="26"/>
            <w:szCs w:val="26"/>
          </w:rPr>
          <w:fldChar w:fldCharType="end"/>
        </w:r>
      </w:p>
    </w:sdtContent>
  </w:sdt>
  <w:p w14:paraId="5EE46871" w14:textId="77777777" w:rsidR="00EF0061" w:rsidRDefault="00EF0061" w:rsidP="00BD5B6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3EC8" w14:textId="77777777" w:rsidR="006617F8" w:rsidRDefault="006617F8" w:rsidP="00362176">
      <w:r>
        <w:separator/>
      </w:r>
    </w:p>
  </w:footnote>
  <w:footnote w:type="continuationSeparator" w:id="0">
    <w:p w14:paraId="1C303656" w14:textId="77777777" w:rsidR="006617F8" w:rsidRDefault="006617F8" w:rsidP="00362176">
      <w:r>
        <w:continuationSeparator/>
      </w:r>
    </w:p>
  </w:footnote>
  <w:footnote w:id="1">
    <w:p w14:paraId="6053C586" w14:textId="77777777" w:rsidR="00EF0061" w:rsidRPr="00582718" w:rsidRDefault="00EF0061" w:rsidP="00FC002B">
      <w:pPr>
        <w:pStyle w:val="FootnoteText"/>
        <w:rPr>
          <w:lang w:val="vi-VN"/>
        </w:rPr>
      </w:pPr>
      <w:r>
        <w:rPr>
          <w:rStyle w:val="FootnoteReference"/>
        </w:rPr>
        <w:footnoteRef/>
      </w:r>
      <w:r>
        <w:t xml:space="preserve"> </w:t>
      </w:r>
      <w:r>
        <w:rPr>
          <w:lang w:val="vi-VN"/>
        </w:rPr>
        <w:t>Viện Chiến lược Ngân hàng, 2021. Báo cáo kết quả triển khai Đề án Ngân hàng xanh tại Việt Nam giai đoạn 2018-2020.</w:t>
      </w:r>
    </w:p>
  </w:footnote>
  <w:footnote w:id="2">
    <w:p w14:paraId="08CD7E06" w14:textId="77777777" w:rsidR="00EF0061" w:rsidRPr="00DB5011" w:rsidRDefault="00EF0061" w:rsidP="00FC002B">
      <w:pPr>
        <w:pStyle w:val="FootnoteText"/>
        <w:rPr>
          <w:lang w:val="vi-VN"/>
        </w:rPr>
      </w:pPr>
      <w:r>
        <w:rPr>
          <w:rStyle w:val="FootnoteReference"/>
        </w:rPr>
        <w:footnoteRef/>
      </w:r>
      <w:r w:rsidRPr="009605FD">
        <w:rPr>
          <w:lang w:val="vi-VN"/>
        </w:rPr>
        <w:t xml:space="preserve"> </w:t>
      </w:r>
      <w:r>
        <w:rPr>
          <w:lang w:val="vi-VN"/>
        </w:rPr>
        <w:t>Công văn số 3497/NHNN-TD ngày 25/5/2022 của Ngân hàng Nhà nước.</w:t>
      </w:r>
    </w:p>
  </w:footnote>
  <w:footnote w:id="3">
    <w:p w14:paraId="160D977D" w14:textId="77777777" w:rsidR="00EF0061" w:rsidRPr="00016605" w:rsidRDefault="00EF0061" w:rsidP="00FC002B">
      <w:pPr>
        <w:pStyle w:val="NormalWeb"/>
        <w:widowControl w:val="0"/>
        <w:shd w:val="clear" w:color="auto" w:fill="FFFFFF"/>
        <w:spacing w:before="60" w:beforeAutospacing="0" w:after="0" w:afterAutospacing="0"/>
        <w:rPr>
          <w:bCs/>
          <w:sz w:val="28"/>
          <w:szCs w:val="28"/>
          <w:lang w:val="vi-VN"/>
        </w:rPr>
      </w:pPr>
      <w:r w:rsidRPr="00016605">
        <w:rPr>
          <w:rStyle w:val="FootnoteReference"/>
          <w:sz w:val="20"/>
          <w:szCs w:val="20"/>
        </w:rPr>
        <w:footnoteRef/>
      </w:r>
      <w:r w:rsidRPr="009605FD">
        <w:rPr>
          <w:sz w:val="20"/>
          <w:szCs w:val="20"/>
          <w:lang w:val="vi-VN"/>
        </w:rPr>
        <w:t xml:space="preserve"> </w:t>
      </w:r>
      <w:r w:rsidRPr="00016605">
        <w:rPr>
          <w:bCs/>
          <w:sz w:val="20"/>
          <w:szCs w:val="20"/>
          <w:lang w:val="vi-VN"/>
        </w:rPr>
        <w:t>Hiện nay, về cơ bản các TCTD đều đang thực hiện cấp tín dụng xanh trên cơ sở văn bản hướng dẫn của NHNN. Ngoài ra, một số ngân hàng thương mại (BIDV, VPBank, TPBank,…) còn tuân thủ danh mục dự án xanh theo quy định/hướng dẫn của các Nhà tài trợ quốc tế trong trường hợp cấp tín dụng xanh, cho vay các dự án xanh từ nguồn vốn ủy thác hoặc khoản đầu tư từ các tổ chức quốc tế.</w:t>
      </w:r>
    </w:p>
  </w:footnote>
  <w:footnote w:id="4">
    <w:p w14:paraId="7223D397" w14:textId="02FB10B6" w:rsidR="00EF0061" w:rsidRPr="00ED61A7" w:rsidRDefault="00EF0061" w:rsidP="00AC017F">
      <w:pPr>
        <w:pStyle w:val="FootnoteText"/>
        <w:jc w:val="both"/>
        <w:rPr>
          <w:lang w:val="vi-VN"/>
        </w:rPr>
      </w:pPr>
      <w:r>
        <w:rPr>
          <w:rStyle w:val="FootnoteReference"/>
        </w:rPr>
        <w:footnoteRef/>
      </w:r>
      <w:r w:rsidRPr="009605FD">
        <w:rPr>
          <w:lang w:val="vi-VN"/>
        </w:rPr>
        <w:t xml:space="preserve"> </w:t>
      </w:r>
      <w:r>
        <w:rPr>
          <w:lang w:val="vi-VN"/>
        </w:rPr>
        <w:t xml:space="preserve">Công văn số </w:t>
      </w:r>
      <w:r w:rsidR="00AC017F" w:rsidRPr="00AC017F">
        <w:rPr>
          <w:lang w:val="vi-VN"/>
        </w:rPr>
        <w:t>5112/BTC-TCNH ngày 03/6/2022</w:t>
      </w:r>
      <w:r>
        <w:rPr>
          <w:lang w:val="vi-VN"/>
        </w:rPr>
        <w:t xml:space="preserve"> của Bộ Tài chính (phúc đáp văn bản số 2535/BTNMT-VCLCSTNMT ngày 13/5/2022).</w:t>
      </w:r>
    </w:p>
  </w:footnote>
  <w:footnote w:id="5">
    <w:p w14:paraId="213ED2A5" w14:textId="77777777" w:rsidR="00EF0061" w:rsidRPr="00D51FCB" w:rsidRDefault="00EF0061" w:rsidP="005167A8">
      <w:pPr>
        <w:pStyle w:val="FootnoteText"/>
        <w:spacing w:before="60"/>
        <w:rPr>
          <w:lang w:val="vi-VN"/>
        </w:rPr>
      </w:pPr>
      <w:r>
        <w:rPr>
          <w:rStyle w:val="FootnoteReference"/>
        </w:rPr>
        <w:footnoteRef/>
      </w:r>
      <w:r w:rsidRPr="009605FD">
        <w:rPr>
          <w:lang w:val="vi-VN"/>
        </w:rPr>
        <w:t xml:space="preserve"> </w:t>
      </w:r>
      <w:r w:rsidRPr="00D51FCB">
        <w:rPr>
          <w:bCs/>
          <w:lang w:val="vi-VN"/>
        </w:rPr>
        <w:t>Viện Chiến lược Ngân hàng, 2021. Báo cáo kết quả triển khai Đề án Ngân hàng xanh tại Việt Nam giai đoạn 2018-2020.</w:t>
      </w:r>
    </w:p>
  </w:footnote>
  <w:footnote w:id="6">
    <w:p w14:paraId="3BB07F3F" w14:textId="77777777" w:rsidR="00EF0061" w:rsidRPr="00D51FCB" w:rsidRDefault="00EF0061" w:rsidP="00016605">
      <w:pPr>
        <w:spacing w:before="60"/>
        <w:jc w:val="both"/>
        <w:rPr>
          <w:sz w:val="20"/>
          <w:szCs w:val="20"/>
          <w:lang w:val="vi-VN"/>
        </w:rPr>
      </w:pPr>
      <w:r w:rsidRPr="00016605">
        <w:rPr>
          <w:rStyle w:val="FootnoteReference"/>
          <w:sz w:val="20"/>
          <w:szCs w:val="20"/>
        </w:rPr>
        <w:footnoteRef/>
      </w:r>
      <w:r w:rsidRPr="009605FD">
        <w:rPr>
          <w:sz w:val="20"/>
          <w:szCs w:val="20"/>
          <w:lang w:val="vi-VN"/>
        </w:rPr>
        <w:t xml:space="preserve"> </w:t>
      </w:r>
      <w:r w:rsidRPr="00D51FCB">
        <w:rPr>
          <w:sz w:val="20"/>
          <w:szCs w:val="20"/>
          <w:lang w:val="vi-VN"/>
        </w:rPr>
        <w:t xml:space="preserve">Báo cáo đánh giá về báo cáo tình hình cấp tín dụng đối với các lĩnh vực xanh và đánh giá rủi ro môi trường, xã hội trong hoạt động cấp tín dụng tại Việt Nam. </w:t>
      </w:r>
      <w:r>
        <w:rPr>
          <w:sz w:val="20"/>
          <w:szCs w:val="20"/>
          <w:lang w:val="vi-VN"/>
        </w:rPr>
        <w:t>Dự án hợp tác GIZ/Đức tại Việt Nam, t</w:t>
      </w:r>
      <w:r w:rsidRPr="00D51FCB">
        <w:rPr>
          <w:sz w:val="20"/>
          <w:szCs w:val="20"/>
          <w:lang w:val="vi-VN"/>
        </w:rPr>
        <w:t>háng 8/2019.</w:t>
      </w:r>
    </w:p>
  </w:footnote>
  <w:footnote w:id="7">
    <w:p w14:paraId="1751B006" w14:textId="77777777" w:rsidR="00EF0061" w:rsidRPr="00FC5F2E" w:rsidRDefault="00EF0061" w:rsidP="009731BC">
      <w:pPr>
        <w:pStyle w:val="FootnoteText"/>
        <w:rPr>
          <w:lang w:val="vi-VN"/>
        </w:rPr>
      </w:pPr>
      <w:r>
        <w:rPr>
          <w:rStyle w:val="FootnoteReference"/>
        </w:rPr>
        <w:footnoteRef/>
      </w:r>
      <w:r w:rsidRPr="009605FD">
        <w:rPr>
          <w:lang w:val="vi-VN"/>
        </w:rPr>
        <w:t xml:space="preserve"> </w:t>
      </w:r>
      <w:r>
        <w:rPr>
          <w:lang w:val="vi-VN"/>
        </w:rPr>
        <w:t>Phát biểu của Thứ trưởng Bộ Kế hoạch và Đầu tư tại Hội nghị Thu hút nguồn lực hỗ trợ thực hiện các mục tiêu phát triển xanh và phát triển bền vững ngày 16/8/2022.</w:t>
      </w:r>
    </w:p>
  </w:footnote>
  <w:footnote w:id="8">
    <w:p w14:paraId="34666241" w14:textId="740F647F" w:rsidR="00EF0061" w:rsidRPr="00AC017F" w:rsidRDefault="00EF0061" w:rsidP="0024233A">
      <w:pPr>
        <w:pStyle w:val="FootnoteText"/>
        <w:rPr>
          <w:lang w:val="vi-VN"/>
        </w:rPr>
      </w:pPr>
      <w:r w:rsidRPr="00AC017F">
        <w:rPr>
          <w:rStyle w:val="FootnoteReference"/>
        </w:rPr>
        <w:footnoteRef/>
      </w:r>
      <w:r w:rsidRPr="009605FD">
        <w:rPr>
          <w:lang w:val="vi-VN"/>
        </w:rPr>
        <w:t xml:space="preserve"> </w:t>
      </w:r>
      <w:r w:rsidRPr="00AC017F">
        <w:rPr>
          <w:bCs/>
          <w:lang w:val="vi-VN"/>
        </w:rPr>
        <w:t>Các dự án như trồng rừng, năng lượng sạch, nông nghiệp sạch…</w:t>
      </w:r>
    </w:p>
  </w:footnote>
  <w:footnote w:id="9">
    <w:p w14:paraId="4F18BB0F" w14:textId="32ABF8BB" w:rsidR="00EF0061" w:rsidRPr="00AC017F" w:rsidRDefault="00EF0061" w:rsidP="00AC017F">
      <w:pPr>
        <w:pStyle w:val="FootnoteText"/>
        <w:rPr>
          <w:lang w:val="vi-VN"/>
        </w:rPr>
      </w:pPr>
      <w:r>
        <w:rPr>
          <w:rStyle w:val="FootnoteReference"/>
        </w:rPr>
        <w:footnoteRef/>
      </w:r>
      <w:r w:rsidRPr="009605FD">
        <w:rPr>
          <w:lang w:val="vi-VN"/>
        </w:rPr>
        <w:t xml:space="preserve"> </w:t>
      </w:r>
      <w:r w:rsidRPr="00AC017F">
        <w:rPr>
          <w:lang w:val="vi-VN"/>
        </w:rPr>
        <w:t>Số liệu tham khảo Báo cáo Kết quả triển khai đề án ngân hàng xanh tại Việt Nam giai đoạn 2018-2020 của Viện Chiến lược ngân hàng tháng 8/2021 (số liệu được thống kê trên số lượng các đơn vị gửi báo cáo về).</w:t>
      </w:r>
    </w:p>
  </w:footnote>
  <w:footnote w:id="10">
    <w:p w14:paraId="44E8D957" w14:textId="6CE7D0D1" w:rsidR="00EF0061" w:rsidRPr="00AC017F" w:rsidRDefault="00EF0061" w:rsidP="00AC017F">
      <w:pPr>
        <w:jc w:val="both"/>
        <w:rPr>
          <w:i/>
          <w:iCs/>
          <w:color w:val="000000" w:themeColor="text1"/>
          <w:sz w:val="20"/>
          <w:szCs w:val="20"/>
          <w:lang w:val="vi-VN"/>
        </w:rPr>
      </w:pPr>
      <w:r w:rsidRPr="00AC017F">
        <w:rPr>
          <w:rStyle w:val="FootnoteReference"/>
          <w:sz w:val="20"/>
          <w:szCs w:val="20"/>
        </w:rPr>
        <w:footnoteRef/>
      </w:r>
      <w:r w:rsidRPr="009605FD">
        <w:rPr>
          <w:sz w:val="20"/>
          <w:szCs w:val="20"/>
          <w:lang w:val="vi-VN"/>
        </w:rPr>
        <w:t xml:space="preserve"> Đối</w:t>
      </w:r>
      <w:r w:rsidRPr="00AC017F">
        <w:rPr>
          <w:sz w:val="20"/>
          <w:szCs w:val="20"/>
          <w:lang w:val="vi-VN"/>
        </w:rPr>
        <w:t xml:space="preserve"> với nhóm NHTM: </w:t>
      </w:r>
      <w:r w:rsidRPr="00AC017F">
        <w:rPr>
          <w:color w:val="000000" w:themeColor="text1"/>
          <w:sz w:val="20"/>
          <w:szCs w:val="20"/>
          <w:lang w:val="pt-BR"/>
        </w:rPr>
        <w:t>13/39 ngân hàng (chiếm</w:t>
      </w:r>
      <w:r w:rsidRPr="009605FD">
        <w:rPr>
          <w:color w:val="000000" w:themeColor="text1"/>
          <w:sz w:val="20"/>
          <w:szCs w:val="20"/>
          <w:lang w:val="vi-VN"/>
        </w:rPr>
        <w:t xml:space="preserve"> 33,33%) </w:t>
      </w:r>
      <w:bookmarkStart w:id="2" w:name="_Hlk79954924"/>
      <w:r w:rsidRPr="009605FD">
        <w:rPr>
          <w:color w:val="000000" w:themeColor="text1"/>
          <w:sz w:val="20"/>
          <w:szCs w:val="20"/>
          <w:lang w:val="vi-VN"/>
        </w:rPr>
        <w:t>đã xây dựng được quy định nội bộ riêng về quản lý rủi ro MT&amp;XH trong hoạt động cấp tín dụng</w:t>
      </w:r>
      <w:bookmarkEnd w:id="2"/>
      <w:r w:rsidRPr="009605FD">
        <w:rPr>
          <w:color w:val="000000" w:themeColor="text1"/>
          <w:sz w:val="20"/>
          <w:szCs w:val="20"/>
          <w:lang w:val="vi-VN"/>
        </w:rPr>
        <w:t xml:space="preserve">, trong đó có 6 ngân hàng (chiếm 15,39%) với sự hỗ trợ đối tác quốc tế đã có quy định riêng về quản lý rủi ro MT&amp;XH tuân theo tiêu chuẩn của các đối tác quốc tế. Ngoài ra có 11/39 ngân hàng (chiếm 28,21%) mặc dù chưa có quy định nội bộ riêng về quản lý rủi ro MT&amp;XH trong hoạt động cấp tín dụng nhưng đã </w:t>
      </w:r>
      <w:r w:rsidRPr="00AC017F">
        <w:rPr>
          <w:color w:val="000000" w:themeColor="text1"/>
          <w:sz w:val="20"/>
          <w:szCs w:val="20"/>
          <w:lang w:val="pt-BR"/>
        </w:rPr>
        <w:t xml:space="preserve">lồng ghép nội dung về quản lý rủi ro MT&amp;XH tại các văn bản/quy trình nội bộ chung về cấp tín dụng. Đối với nhóm chi nhánh ngân hàng nước ngoài, có 13/41 chi nhánh (chiếm 31,71%) có quy định nội bộ riêng về quản lý rủi ro MT&amp;XH, và 18/41 chi nhánh (chiếm 43,9%) không có quy định riêng nhưng đã lồng ghép các quy định về quản lý rủi ro MT&amp;XH trong các quy định khác. </w:t>
      </w:r>
      <w:r w:rsidRPr="00AC017F">
        <w:rPr>
          <w:i/>
          <w:iCs/>
          <w:color w:val="000000" w:themeColor="text1"/>
          <w:sz w:val="20"/>
          <w:szCs w:val="20"/>
          <w:lang w:val="vi-VN"/>
        </w:rPr>
        <w:t>(Báo cáo Kết quả triển khai Đề án ngân hàng xanh Việt Nam giai đoạn 2018-2020, Viện CLNH, tháng 8/2021).</w:t>
      </w:r>
    </w:p>
  </w:footnote>
  <w:footnote w:id="11">
    <w:p w14:paraId="7A0DDF87" w14:textId="314D9C89" w:rsidR="00EF0061" w:rsidRPr="004A5B47" w:rsidRDefault="00EF0061" w:rsidP="00AC017F">
      <w:pPr>
        <w:pStyle w:val="FootnoteText"/>
        <w:jc w:val="both"/>
        <w:rPr>
          <w:lang w:val="vi-VN"/>
        </w:rPr>
      </w:pPr>
      <w:r w:rsidRPr="00AC017F">
        <w:rPr>
          <w:rStyle w:val="FootnoteReference"/>
        </w:rPr>
        <w:footnoteRef/>
      </w:r>
      <w:r w:rsidRPr="00AC017F">
        <w:rPr>
          <w:lang w:val="vi-VN"/>
        </w:rPr>
        <w:t xml:space="preserve"> </w:t>
      </w:r>
      <w:r w:rsidRPr="00AC017F">
        <w:rPr>
          <w:color w:val="000000" w:themeColor="text1"/>
          <w:lang w:val="pt-BR"/>
        </w:rPr>
        <w:t xml:space="preserve">Có 9 </w:t>
      </w:r>
      <w:bookmarkStart w:id="3" w:name="_Hlk79955228"/>
      <w:r w:rsidRPr="00AC017F">
        <w:rPr>
          <w:color w:val="000000" w:themeColor="text1"/>
          <w:lang w:val="pt-BR"/>
        </w:rPr>
        <w:t>ngân hàng thành lập bộ phận chuyên trách để quản lý rủi ro MT&amp;XH (chiếm 23,08%), bên cạnh đó, có 7 ngân hàng (chiếm 17,95%) mặc dù chưa có bộ phận chuyên trách nhưng đã bố trí cán bộ chuyên trách phụ trách về quản lý rủi ro MT&amp;XH.</w:t>
      </w:r>
      <w:bookmarkEnd w:id="3"/>
      <w:r w:rsidRPr="00AC017F">
        <w:rPr>
          <w:color w:val="000000" w:themeColor="text1"/>
          <w:lang w:val="vi-VN"/>
        </w:rPr>
        <w:t xml:space="preserve"> </w:t>
      </w:r>
      <w:r w:rsidRPr="00AC017F">
        <w:rPr>
          <w:i/>
          <w:iCs/>
          <w:color w:val="000000" w:themeColor="text1"/>
          <w:lang w:val="vi-VN"/>
        </w:rPr>
        <w:t>(Báo cáo Kết quả triển khai Đề án ngân hàng xanh Việt Nam giai đoạn 2018-2020, Viện CLNH, tháng 8/2021).</w:t>
      </w:r>
    </w:p>
  </w:footnote>
  <w:footnote w:id="12">
    <w:p w14:paraId="43663129" w14:textId="77777777" w:rsidR="00EF0061" w:rsidRPr="009605FD" w:rsidRDefault="00EF0061" w:rsidP="00AC017F">
      <w:pPr>
        <w:pBdr>
          <w:top w:val="nil"/>
          <w:left w:val="nil"/>
          <w:bottom w:val="nil"/>
          <w:right w:val="nil"/>
          <w:between w:val="nil"/>
        </w:pBdr>
        <w:jc w:val="both"/>
        <w:rPr>
          <w:color w:val="000000"/>
          <w:sz w:val="20"/>
          <w:szCs w:val="20"/>
          <w:lang w:val="vi-VN"/>
        </w:rPr>
      </w:pPr>
      <w:r w:rsidRPr="007B0392">
        <w:rPr>
          <w:rStyle w:val="FootnoteReference"/>
          <w:sz w:val="20"/>
          <w:szCs w:val="20"/>
        </w:rPr>
        <w:footnoteRef/>
      </w:r>
      <w:r w:rsidRPr="009605FD">
        <w:rPr>
          <w:color w:val="000000"/>
          <w:sz w:val="20"/>
          <w:szCs w:val="20"/>
          <w:lang w:val="vi-VN"/>
        </w:rPr>
        <w:t xml:space="preserve"> Nghị định số 153/2020/NĐ-CP quy định về chào bán, giao dịch trái phiếu doanh nghiệp riêng lẻ tại thị trường trong nước và chào bán trái phiếu doanh nghiệp ra thị trường quốc tế</w:t>
      </w:r>
    </w:p>
  </w:footnote>
  <w:footnote w:id="13">
    <w:p w14:paraId="4278D0AE" w14:textId="77777777" w:rsidR="00EF0061" w:rsidRPr="009605FD" w:rsidRDefault="00EF0061" w:rsidP="00AC017F">
      <w:pPr>
        <w:pBdr>
          <w:top w:val="nil"/>
          <w:left w:val="nil"/>
          <w:bottom w:val="nil"/>
          <w:right w:val="nil"/>
          <w:between w:val="nil"/>
        </w:pBdr>
        <w:jc w:val="both"/>
        <w:rPr>
          <w:color w:val="000000"/>
          <w:sz w:val="20"/>
          <w:szCs w:val="20"/>
          <w:lang w:val="vi-VN"/>
        </w:rPr>
      </w:pPr>
      <w:r w:rsidRPr="007B0392">
        <w:rPr>
          <w:rStyle w:val="FootnoteReference"/>
          <w:sz w:val="20"/>
          <w:szCs w:val="20"/>
        </w:rPr>
        <w:footnoteRef/>
      </w:r>
      <w:r w:rsidRPr="009605FD">
        <w:rPr>
          <w:color w:val="000000"/>
          <w:sz w:val="20"/>
          <w:szCs w:val="20"/>
          <w:lang w:val="vi-VN"/>
        </w:rPr>
        <w:t xml:space="preserve"> Nghị định số 95/2018/NĐ-CP quy định về phát hành, đăng ký, lưu ký, niêm yết và giao dịch công cụ nợ của Chính phủ trên thị trường chứng khoán</w:t>
      </w:r>
    </w:p>
  </w:footnote>
  <w:footnote w:id="14">
    <w:p w14:paraId="2FEA746F" w14:textId="77777777" w:rsidR="00EF0061" w:rsidRPr="009605FD" w:rsidRDefault="00EF0061" w:rsidP="00AC017F">
      <w:pPr>
        <w:jc w:val="both"/>
        <w:rPr>
          <w:sz w:val="20"/>
          <w:szCs w:val="20"/>
          <w:lang w:val="vi-VN"/>
        </w:rPr>
      </w:pPr>
      <w:r w:rsidRPr="007B0392">
        <w:rPr>
          <w:rStyle w:val="FootnoteReference"/>
          <w:sz w:val="20"/>
          <w:szCs w:val="20"/>
        </w:rPr>
        <w:footnoteRef/>
      </w:r>
      <w:r w:rsidRPr="009605FD">
        <w:rPr>
          <w:sz w:val="20"/>
          <w:szCs w:val="20"/>
          <w:lang w:val="vi-VN"/>
        </w:rPr>
        <w:t xml:space="preserve"> Nghị định số 93/2018/NĐ-CP Quy định về quản lý nợ của chính quyền địa phương</w:t>
      </w:r>
    </w:p>
  </w:footnote>
  <w:footnote w:id="15">
    <w:p w14:paraId="197FA5D9" w14:textId="42CAB173" w:rsidR="00EF0061" w:rsidRPr="008D6526" w:rsidRDefault="00EF0061" w:rsidP="00AC017F">
      <w:pPr>
        <w:pStyle w:val="FootnoteText"/>
        <w:rPr>
          <w:lang w:val="vi-VN"/>
        </w:rPr>
      </w:pPr>
      <w:r>
        <w:rPr>
          <w:rStyle w:val="FootnoteReference"/>
        </w:rPr>
        <w:footnoteRef/>
      </w:r>
      <w:r w:rsidRPr="009605FD">
        <w:rPr>
          <w:lang w:val="vi-VN"/>
        </w:rPr>
        <w:t xml:space="preserve"> Tham</w:t>
      </w:r>
      <w:r>
        <w:rPr>
          <w:lang w:val="vi-VN"/>
        </w:rPr>
        <w:t xml:space="preserve"> luận của Hiệp hội kinh doanh chứng khoán Việt Nam tại Hội thảo Hồ Chí Minh 29/7/2022.</w:t>
      </w:r>
    </w:p>
  </w:footnote>
  <w:footnote w:id="16">
    <w:p w14:paraId="11064956" w14:textId="77777777" w:rsidR="00EF0061" w:rsidRPr="00607E74" w:rsidRDefault="00EF0061" w:rsidP="00A0629F">
      <w:pPr>
        <w:pStyle w:val="FootnoteText"/>
        <w:rPr>
          <w:lang w:val="vi-VN"/>
        </w:rPr>
      </w:pPr>
      <w:r>
        <w:rPr>
          <w:rStyle w:val="FootnoteReference"/>
        </w:rPr>
        <w:footnoteRef/>
      </w:r>
      <w:r w:rsidRPr="009605FD">
        <w:rPr>
          <w:lang w:val="vi-VN"/>
        </w:rPr>
        <w:t xml:space="preserve"> </w:t>
      </w:r>
      <w:r w:rsidRPr="00D51FCB">
        <w:rPr>
          <w:bCs/>
          <w:lang w:val="vi-VN"/>
        </w:rPr>
        <w:t>Viện Chiến lược Ngân hàng, 2021. Báo cáo kết quả triển khai Đề án Ngân hàng xanh tại Việt Nam giai đoạn 2018-2020.</w:t>
      </w:r>
    </w:p>
  </w:footnote>
  <w:footnote w:id="17">
    <w:p w14:paraId="2637628A" w14:textId="77777777" w:rsidR="00EF0061" w:rsidRPr="00607E74" w:rsidRDefault="00EF0061" w:rsidP="0024233A">
      <w:pPr>
        <w:pStyle w:val="FootnoteText"/>
        <w:rPr>
          <w:lang w:val="vi-VN"/>
        </w:rPr>
      </w:pPr>
      <w:r>
        <w:rPr>
          <w:rStyle w:val="FootnoteReference"/>
        </w:rPr>
        <w:footnoteRef/>
      </w:r>
      <w:r w:rsidRPr="009605FD">
        <w:rPr>
          <w:lang w:val="vi-VN"/>
        </w:rPr>
        <w:t xml:space="preserve"> </w:t>
      </w:r>
      <w:r w:rsidRPr="00D51FCB">
        <w:rPr>
          <w:bCs/>
          <w:lang w:val="vi-VN"/>
        </w:rPr>
        <w:t>Viện Chiến lược Ngân hàng, 2021. Báo cáo kết quả triển khai Đề án Ngân hàng xanh tại Việt Nam giai đoạn 2018-2020.</w:t>
      </w:r>
    </w:p>
  </w:footnote>
  <w:footnote w:id="18">
    <w:p w14:paraId="400AD594" w14:textId="469745AE" w:rsidR="00EF0061" w:rsidRPr="00505EB6" w:rsidRDefault="00EF0061">
      <w:pPr>
        <w:pStyle w:val="FootnoteText"/>
        <w:rPr>
          <w:lang w:val="vi-VN"/>
        </w:rPr>
      </w:pPr>
      <w:r>
        <w:rPr>
          <w:rStyle w:val="FootnoteReference"/>
        </w:rPr>
        <w:footnoteRef/>
      </w:r>
      <w:r w:rsidRPr="009605FD">
        <w:rPr>
          <w:lang w:val="vi-VN"/>
        </w:rPr>
        <w:t xml:space="preserve"> </w:t>
      </w:r>
      <w:r>
        <w:rPr>
          <w:lang w:val="vi-VN"/>
        </w:rPr>
        <w:t>Số liệu lấy theo Báo cáo đánh giá TTHC.</w:t>
      </w:r>
    </w:p>
  </w:footnote>
  <w:footnote w:id="19">
    <w:p w14:paraId="1C09A8C3" w14:textId="6F3D9D29" w:rsidR="00EF0061" w:rsidRPr="007E48C4" w:rsidRDefault="00EF0061">
      <w:pPr>
        <w:pStyle w:val="FootnoteText"/>
        <w:rPr>
          <w:lang w:val="vi-VN"/>
        </w:rPr>
      </w:pPr>
      <w:r>
        <w:rPr>
          <w:rStyle w:val="FootnoteReference"/>
        </w:rPr>
        <w:footnoteRef/>
      </w:r>
      <w:r w:rsidRPr="009605FD">
        <w:rPr>
          <w:lang w:val="vi-VN"/>
        </w:rPr>
        <w:t xml:space="preserve"> </w:t>
      </w:r>
      <w:r>
        <w:rPr>
          <w:lang w:val="vi-VN"/>
        </w:rPr>
        <w:t>Theo số liệu khảo sát trực tiếp từ các TCTD trong quá trình xây dựng Quyết định và đánh giá tác động chính sách, 2022.</w:t>
      </w:r>
    </w:p>
  </w:footnote>
  <w:footnote w:id="20">
    <w:p w14:paraId="3C2B315C" w14:textId="77777777" w:rsidR="00B003D4" w:rsidRPr="002154C6" w:rsidRDefault="00B003D4" w:rsidP="00B003D4">
      <w:pPr>
        <w:pStyle w:val="FootnoteText"/>
        <w:jc w:val="both"/>
        <w:rPr>
          <w:lang w:val="vi-VN"/>
        </w:rPr>
      </w:pPr>
      <w:r>
        <w:rPr>
          <w:rStyle w:val="FootnoteReference"/>
        </w:rPr>
        <w:footnoteRef/>
      </w:r>
      <w:r w:rsidRPr="009605FD">
        <w:rPr>
          <w:lang w:val="vi-VN"/>
        </w:rPr>
        <w:t xml:space="preserve"> So</w:t>
      </w:r>
      <w:r>
        <w:rPr>
          <w:lang w:val="vi-VN"/>
        </w:rPr>
        <w:t xml:space="preserve"> với các nước, tỷ lệ tổng dư nợ tín dụng xanh trong tổng dư nợ tín dụng của nền kinh tế còn thấp. Ví dụ tại Trung Quốc, </w:t>
      </w:r>
      <w:r w:rsidRPr="009605FD">
        <w:rPr>
          <w:lang w:val="vi-VN"/>
        </w:rPr>
        <w:t xml:space="preserve">tổng dư nợ tín dụng xanh trong tổng dư nợ tín dụng của nền kinh tế đã tăng từ 8,8% (năm 2013) lên 10,4% (năm 2019). </w:t>
      </w:r>
    </w:p>
  </w:footnote>
  <w:footnote w:id="21">
    <w:p w14:paraId="03CBF4B6" w14:textId="77777777" w:rsidR="004D714F" w:rsidRPr="00505EB6" w:rsidRDefault="004D714F" w:rsidP="004D714F">
      <w:pPr>
        <w:pStyle w:val="FootnoteText"/>
        <w:rPr>
          <w:lang w:val="vi-VN"/>
        </w:rPr>
      </w:pPr>
      <w:r>
        <w:rPr>
          <w:rStyle w:val="FootnoteReference"/>
        </w:rPr>
        <w:footnoteRef/>
      </w:r>
      <w:r w:rsidRPr="009605FD">
        <w:rPr>
          <w:lang w:val="vi-VN"/>
        </w:rPr>
        <w:t xml:space="preserve"> </w:t>
      </w:r>
      <w:r>
        <w:rPr>
          <w:lang w:val="vi-VN"/>
        </w:rPr>
        <w:t>Số liệu lấy theo Báo cáo đánh giá TTHC.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C9B"/>
    <w:multiLevelType w:val="hybridMultilevel"/>
    <w:tmpl w:val="2CEA8200"/>
    <w:lvl w:ilvl="0" w:tplc="F83A60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BC2C03"/>
    <w:multiLevelType w:val="hybridMultilevel"/>
    <w:tmpl w:val="5636D5B0"/>
    <w:lvl w:ilvl="0" w:tplc="90E87802">
      <w:start w:val="1"/>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2AFD5E88"/>
    <w:multiLevelType w:val="hybridMultilevel"/>
    <w:tmpl w:val="AF166714"/>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15:restartNumberingAfterBreak="0">
    <w:nsid w:val="3B4167F2"/>
    <w:multiLevelType w:val="multilevel"/>
    <w:tmpl w:val="24C61732"/>
    <w:lvl w:ilvl="0">
      <w:start w:val="1"/>
      <w:numFmt w:val="decimal"/>
      <w:lvlText w:val="%1."/>
      <w:lvlJc w:val="left"/>
      <w:pPr>
        <w:ind w:left="814" w:hanging="360"/>
      </w:pPr>
      <w:rPr>
        <w:rFonts w:hint="default"/>
      </w:rPr>
    </w:lvl>
    <w:lvl w:ilvl="1">
      <w:start w:val="4"/>
      <w:numFmt w:val="decimal"/>
      <w:isLgl/>
      <w:lvlText w:val="%1.%2."/>
      <w:lvlJc w:val="left"/>
      <w:pPr>
        <w:ind w:left="1174" w:hanging="72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2254" w:hanging="180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4" w15:restartNumberingAfterBreak="0">
    <w:nsid w:val="3C565E2E"/>
    <w:multiLevelType w:val="hybridMultilevel"/>
    <w:tmpl w:val="8702F5F6"/>
    <w:lvl w:ilvl="0" w:tplc="9DEE649C">
      <w:start w:val="1"/>
      <w:numFmt w:val="bullet"/>
      <w:lvlText w:val="•"/>
      <w:lvlJc w:val="left"/>
      <w:pPr>
        <w:tabs>
          <w:tab w:val="num" w:pos="720"/>
        </w:tabs>
        <w:ind w:left="720" w:hanging="360"/>
      </w:pPr>
      <w:rPr>
        <w:rFonts w:ascii="Arial" w:hAnsi="Arial" w:hint="default"/>
      </w:rPr>
    </w:lvl>
    <w:lvl w:ilvl="1" w:tplc="343A1A84">
      <w:start w:val="1"/>
      <w:numFmt w:val="bullet"/>
      <w:lvlText w:val="•"/>
      <w:lvlJc w:val="left"/>
      <w:pPr>
        <w:tabs>
          <w:tab w:val="num" w:pos="1440"/>
        </w:tabs>
        <w:ind w:left="1440" w:hanging="360"/>
      </w:pPr>
      <w:rPr>
        <w:rFonts w:ascii="Arial" w:hAnsi="Arial" w:hint="default"/>
      </w:rPr>
    </w:lvl>
    <w:lvl w:ilvl="2" w:tplc="7B2CE8D0">
      <w:numFmt w:val="bullet"/>
      <w:lvlText w:val="•"/>
      <w:lvlJc w:val="left"/>
      <w:pPr>
        <w:tabs>
          <w:tab w:val="num" w:pos="2160"/>
        </w:tabs>
        <w:ind w:left="2160" w:hanging="360"/>
      </w:pPr>
      <w:rPr>
        <w:rFonts w:ascii="Arial" w:hAnsi="Arial" w:hint="default"/>
      </w:rPr>
    </w:lvl>
    <w:lvl w:ilvl="3" w:tplc="F4503202" w:tentative="1">
      <w:start w:val="1"/>
      <w:numFmt w:val="bullet"/>
      <w:lvlText w:val="•"/>
      <w:lvlJc w:val="left"/>
      <w:pPr>
        <w:tabs>
          <w:tab w:val="num" w:pos="2880"/>
        </w:tabs>
        <w:ind w:left="2880" w:hanging="360"/>
      </w:pPr>
      <w:rPr>
        <w:rFonts w:ascii="Arial" w:hAnsi="Arial" w:hint="default"/>
      </w:rPr>
    </w:lvl>
    <w:lvl w:ilvl="4" w:tplc="C492CDF8" w:tentative="1">
      <w:start w:val="1"/>
      <w:numFmt w:val="bullet"/>
      <w:lvlText w:val="•"/>
      <w:lvlJc w:val="left"/>
      <w:pPr>
        <w:tabs>
          <w:tab w:val="num" w:pos="3600"/>
        </w:tabs>
        <w:ind w:left="3600" w:hanging="360"/>
      </w:pPr>
      <w:rPr>
        <w:rFonts w:ascii="Arial" w:hAnsi="Arial" w:hint="default"/>
      </w:rPr>
    </w:lvl>
    <w:lvl w:ilvl="5" w:tplc="424CAF04" w:tentative="1">
      <w:start w:val="1"/>
      <w:numFmt w:val="bullet"/>
      <w:lvlText w:val="•"/>
      <w:lvlJc w:val="left"/>
      <w:pPr>
        <w:tabs>
          <w:tab w:val="num" w:pos="4320"/>
        </w:tabs>
        <w:ind w:left="4320" w:hanging="360"/>
      </w:pPr>
      <w:rPr>
        <w:rFonts w:ascii="Arial" w:hAnsi="Arial" w:hint="default"/>
      </w:rPr>
    </w:lvl>
    <w:lvl w:ilvl="6" w:tplc="AA2CDE92" w:tentative="1">
      <w:start w:val="1"/>
      <w:numFmt w:val="bullet"/>
      <w:lvlText w:val="•"/>
      <w:lvlJc w:val="left"/>
      <w:pPr>
        <w:tabs>
          <w:tab w:val="num" w:pos="5040"/>
        </w:tabs>
        <w:ind w:left="5040" w:hanging="360"/>
      </w:pPr>
      <w:rPr>
        <w:rFonts w:ascii="Arial" w:hAnsi="Arial" w:hint="default"/>
      </w:rPr>
    </w:lvl>
    <w:lvl w:ilvl="7" w:tplc="153AA76A" w:tentative="1">
      <w:start w:val="1"/>
      <w:numFmt w:val="bullet"/>
      <w:lvlText w:val="•"/>
      <w:lvlJc w:val="left"/>
      <w:pPr>
        <w:tabs>
          <w:tab w:val="num" w:pos="5760"/>
        </w:tabs>
        <w:ind w:left="5760" w:hanging="360"/>
      </w:pPr>
      <w:rPr>
        <w:rFonts w:ascii="Arial" w:hAnsi="Arial" w:hint="default"/>
      </w:rPr>
    </w:lvl>
    <w:lvl w:ilvl="8" w:tplc="3B86D9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205A18"/>
    <w:multiLevelType w:val="hybridMultilevel"/>
    <w:tmpl w:val="13CE2202"/>
    <w:lvl w:ilvl="0" w:tplc="0700FBB4">
      <w:start w:val="1"/>
      <w:numFmt w:val="bullet"/>
      <w:lvlText w:val="à"/>
      <w:lvlJc w:val="left"/>
      <w:pPr>
        <w:tabs>
          <w:tab w:val="num" w:pos="720"/>
        </w:tabs>
        <w:ind w:left="720" w:hanging="360"/>
      </w:pPr>
      <w:rPr>
        <w:rFonts w:ascii="Wingdings" w:hAnsi="Wingdings" w:hint="default"/>
      </w:rPr>
    </w:lvl>
    <w:lvl w:ilvl="1" w:tplc="C7BABB2A" w:tentative="1">
      <w:start w:val="1"/>
      <w:numFmt w:val="bullet"/>
      <w:lvlText w:val="à"/>
      <w:lvlJc w:val="left"/>
      <w:pPr>
        <w:tabs>
          <w:tab w:val="num" w:pos="1440"/>
        </w:tabs>
        <w:ind w:left="1440" w:hanging="360"/>
      </w:pPr>
      <w:rPr>
        <w:rFonts w:ascii="Wingdings" w:hAnsi="Wingdings" w:hint="default"/>
      </w:rPr>
    </w:lvl>
    <w:lvl w:ilvl="2" w:tplc="CA26C7A8" w:tentative="1">
      <w:start w:val="1"/>
      <w:numFmt w:val="bullet"/>
      <w:lvlText w:val="à"/>
      <w:lvlJc w:val="left"/>
      <w:pPr>
        <w:tabs>
          <w:tab w:val="num" w:pos="2160"/>
        </w:tabs>
        <w:ind w:left="2160" w:hanging="360"/>
      </w:pPr>
      <w:rPr>
        <w:rFonts w:ascii="Wingdings" w:hAnsi="Wingdings" w:hint="default"/>
      </w:rPr>
    </w:lvl>
    <w:lvl w:ilvl="3" w:tplc="EB1AF6DE" w:tentative="1">
      <w:start w:val="1"/>
      <w:numFmt w:val="bullet"/>
      <w:lvlText w:val="à"/>
      <w:lvlJc w:val="left"/>
      <w:pPr>
        <w:tabs>
          <w:tab w:val="num" w:pos="2880"/>
        </w:tabs>
        <w:ind w:left="2880" w:hanging="360"/>
      </w:pPr>
      <w:rPr>
        <w:rFonts w:ascii="Wingdings" w:hAnsi="Wingdings" w:hint="default"/>
      </w:rPr>
    </w:lvl>
    <w:lvl w:ilvl="4" w:tplc="60D2B7B6" w:tentative="1">
      <w:start w:val="1"/>
      <w:numFmt w:val="bullet"/>
      <w:lvlText w:val="à"/>
      <w:lvlJc w:val="left"/>
      <w:pPr>
        <w:tabs>
          <w:tab w:val="num" w:pos="3600"/>
        </w:tabs>
        <w:ind w:left="3600" w:hanging="360"/>
      </w:pPr>
      <w:rPr>
        <w:rFonts w:ascii="Wingdings" w:hAnsi="Wingdings" w:hint="default"/>
      </w:rPr>
    </w:lvl>
    <w:lvl w:ilvl="5" w:tplc="58E475CE" w:tentative="1">
      <w:start w:val="1"/>
      <w:numFmt w:val="bullet"/>
      <w:lvlText w:val="à"/>
      <w:lvlJc w:val="left"/>
      <w:pPr>
        <w:tabs>
          <w:tab w:val="num" w:pos="4320"/>
        </w:tabs>
        <w:ind w:left="4320" w:hanging="360"/>
      </w:pPr>
      <w:rPr>
        <w:rFonts w:ascii="Wingdings" w:hAnsi="Wingdings" w:hint="default"/>
      </w:rPr>
    </w:lvl>
    <w:lvl w:ilvl="6" w:tplc="DE6A1AF4" w:tentative="1">
      <w:start w:val="1"/>
      <w:numFmt w:val="bullet"/>
      <w:lvlText w:val="à"/>
      <w:lvlJc w:val="left"/>
      <w:pPr>
        <w:tabs>
          <w:tab w:val="num" w:pos="5040"/>
        </w:tabs>
        <w:ind w:left="5040" w:hanging="360"/>
      </w:pPr>
      <w:rPr>
        <w:rFonts w:ascii="Wingdings" w:hAnsi="Wingdings" w:hint="default"/>
      </w:rPr>
    </w:lvl>
    <w:lvl w:ilvl="7" w:tplc="66ECCCC4" w:tentative="1">
      <w:start w:val="1"/>
      <w:numFmt w:val="bullet"/>
      <w:lvlText w:val="à"/>
      <w:lvlJc w:val="left"/>
      <w:pPr>
        <w:tabs>
          <w:tab w:val="num" w:pos="5760"/>
        </w:tabs>
        <w:ind w:left="5760" w:hanging="360"/>
      </w:pPr>
      <w:rPr>
        <w:rFonts w:ascii="Wingdings" w:hAnsi="Wingdings" w:hint="default"/>
      </w:rPr>
    </w:lvl>
    <w:lvl w:ilvl="8" w:tplc="00FE87A6" w:tentative="1">
      <w:start w:val="1"/>
      <w:numFmt w:val="bullet"/>
      <w:lvlText w:val="à"/>
      <w:lvlJc w:val="left"/>
      <w:pPr>
        <w:tabs>
          <w:tab w:val="num" w:pos="6480"/>
        </w:tabs>
        <w:ind w:left="6480" w:hanging="360"/>
      </w:pPr>
      <w:rPr>
        <w:rFonts w:ascii="Wingdings" w:hAnsi="Wingdings" w:hint="default"/>
      </w:rPr>
    </w:lvl>
  </w:abstractNum>
  <w:abstractNum w:abstractNumId="6" w15:restartNumberingAfterBreak="0">
    <w:nsid w:val="45AC2544"/>
    <w:multiLevelType w:val="hybridMultilevel"/>
    <w:tmpl w:val="9702A68E"/>
    <w:lvl w:ilvl="0" w:tplc="04BA9FDC">
      <w:start w:val="1"/>
      <w:numFmt w:val="bullet"/>
      <w:lvlText w:val="•"/>
      <w:lvlJc w:val="left"/>
      <w:pPr>
        <w:tabs>
          <w:tab w:val="num" w:pos="720"/>
        </w:tabs>
        <w:ind w:left="720" w:hanging="360"/>
      </w:pPr>
      <w:rPr>
        <w:rFonts w:ascii="Arial" w:hAnsi="Arial" w:hint="default"/>
      </w:rPr>
    </w:lvl>
    <w:lvl w:ilvl="1" w:tplc="63DA3496">
      <w:start w:val="1"/>
      <w:numFmt w:val="bullet"/>
      <w:lvlText w:val="•"/>
      <w:lvlJc w:val="left"/>
      <w:pPr>
        <w:tabs>
          <w:tab w:val="num" w:pos="1440"/>
        </w:tabs>
        <w:ind w:left="1440" w:hanging="360"/>
      </w:pPr>
      <w:rPr>
        <w:rFonts w:ascii="Arial" w:hAnsi="Arial" w:hint="default"/>
      </w:rPr>
    </w:lvl>
    <w:lvl w:ilvl="2" w:tplc="C082B006" w:tentative="1">
      <w:start w:val="1"/>
      <w:numFmt w:val="bullet"/>
      <w:lvlText w:val="•"/>
      <w:lvlJc w:val="left"/>
      <w:pPr>
        <w:tabs>
          <w:tab w:val="num" w:pos="2160"/>
        </w:tabs>
        <w:ind w:left="2160" w:hanging="360"/>
      </w:pPr>
      <w:rPr>
        <w:rFonts w:ascii="Arial" w:hAnsi="Arial" w:hint="default"/>
      </w:rPr>
    </w:lvl>
    <w:lvl w:ilvl="3" w:tplc="50009AA4" w:tentative="1">
      <w:start w:val="1"/>
      <w:numFmt w:val="bullet"/>
      <w:lvlText w:val="•"/>
      <w:lvlJc w:val="left"/>
      <w:pPr>
        <w:tabs>
          <w:tab w:val="num" w:pos="2880"/>
        </w:tabs>
        <w:ind w:left="2880" w:hanging="360"/>
      </w:pPr>
      <w:rPr>
        <w:rFonts w:ascii="Arial" w:hAnsi="Arial" w:hint="default"/>
      </w:rPr>
    </w:lvl>
    <w:lvl w:ilvl="4" w:tplc="0AFA854A" w:tentative="1">
      <w:start w:val="1"/>
      <w:numFmt w:val="bullet"/>
      <w:lvlText w:val="•"/>
      <w:lvlJc w:val="left"/>
      <w:pPr>
        <w:tabs>
          <w:tab w:val="num" w:pos="3600"/>
        </w:tabs>
        <w:ind w:left="3600" w:hanging="360"/>
      </w:pPr>
      <w:rPr>
        <w:rFonts w:ascii="Arial" w:hAnsi="Arial" w:hint="default"/>
      </w:rPr>
    </w:lvl>
    <w:lvl w:ilvl="5" w:tplc="C734A114" w:tentative="1">
      <w:start w:val="1"/>
      <w:numFmt w:val="bullet"/>
      <w:lvlText w:val="•"/>
      <w:lvlJc w:val="left"/>
      <w:pPr>
        <w:tabs>
          <w:tab w:val="num" w:pos="4320"/>
        </w:tabs>
        <w:ind w:left="4320" w:hanging="360"/>
      </w:pPr>
      <w:rPr>
        <w:rFonts w:ascii="Arial" w:hAnsi="Arial" w:hint="default"/>
      </w:rPr>
    </w:lvl>
    <w:lvl w:ilvl="6" w:tplc="06900DCE" w:tentative="1">
      <w:start w:val="1"/>
      <w:numFmt w:val="bullet"/>
      <w:lvlText w:val="•"/>
      <w:lvlJc w:val="left"/>
      <w:pPr>
        <w:tabs>
          <w:tab w:val="num" w:pos="5040"/>
        </w:tabs>
        <w:ind w:left="5040" w:hanging="360"/>
      </w:pPr>
      <w:rPr>
        <w:rFonts w:ascii="Arial" w:hAnsi="Arial" w:hint="default"/>
      </w:rPr>
    </w:lvl>
    <w:lvl w:ilvl="7" w:tplc="FA6E1A8E" w:tentative="1">
      <w:start w:val="1"/>
      <w:numFmt w:val="bullet"/>
      <w:lvlText w:val="•"/>
      <w:lvlJc w:val="left"/>
      <w:pPr>
        <w:tabs>
          <w:tab w:val="num" w:pos="5760"/>
        </w:tabs>
        <w:ind w:left="5760" w:hanging="360"/>
      </w:pPr>
      <w:rPr>
        <w:rFonts w:ascii="Arial" w:hAnsi="Arial" w:hint="default"/>
      </w:rPr>
    </w:lvl>
    <w:lvl w:ilvl="8" w:tplc="3E3C11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4C0904"/>
    <w:multiLevelType w:val="hybridMultilevel"/>
    <w:tmpl w:val="E4820E0A"/>
    <w:lvl w:ilvl="0" w:tplc="BC048A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D19AF"/>
    <w:multiLevelType w:val="hybridMultilevel"/>
    <w:tmpl w:val="10829006"/>
    <w:lvl w:ilvl="0" w:tplc="AF9EC196">
      <w:start w:val="1"/>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7"/>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F0"/>
    <w:rsid w:val="00002485"/>
    <w:rsid w:val="000044B2"/>
    <w:rsid w:val="000066CB"/>
    <w:rsid w:val="00010DA0"/>
    <w:rsid w:val="000114AE"/>
    <w:rsid w:val="00013207"/>
    <w:rsid w:val="00016605"/>
    <w:rsid w:val="00017017"/>
    <w:rsid w:val="00017F4D"/>
    <w:rsid w:val="00020D6D"/>
    <w:rsid w:val="00023641"/>
    <w:rsid w:val="00032364"/>
    <w:rsid w:val="000375EA"/>
    <w:rsid w:val="00041778"/>
    <w:rsid w:val="0004704F"/>
    <w:rsid w:val="0005134B"/>
    <w:rsid w:val="00051950"/>
    <w:rsid w:val="00053122"/>
    <w:rsid w:val="00053DBD"/>
    <w:rsid w:val="000544AA"/>
    <w:rsid w:val="00065C19"/>
    <w:rsid w:val="00066D35"/>
    <w:rsid w:val="00072E20"/>
    <w:rsid w:val="00077459"/>
    <w:rsid w:val="000816D8"/>
    <w:rsid w:val="00092975"/>
    <w:rsid w:val="00095426"/>
    <w:rsid w:val="0009627C"/>
    <w:rsid w:val="000B224F"/>
    <w:rsid w:val="000B7208"/>
    <w:rsid w:val="000D5C34"/>
    <w:rsid w:val="000D7DD9"/>
    <w:rsid w:val="000E234D"/>
    <w:rsid w:val="000E5105"/>
    <w:rsid w:val="000F6B0B"/>
    <w:rsid w:val="00107263"/>
    <w:rsid w:val="0011120E"/>
    <w:rsid w:val="00116DA9"/>
    <w:rsid w:val="00117999"/>
    <w:rsid w:val="00117C99"/>
    <w:rsid w:val="0012202B"/>
    <w:rsid w:val="001311E4"/>
    <w:rsid w:val="0013155F"/>
    <w:rsid w:val="001323A4"/>
    <w:rsid w:val="0013361D"/>
    <w:rsid w:val="00133D74"/>
    <w:rsid w:val="00133F71"/>
    <w:rsid w:val="00135DF0"/>
    <w:rsid w:val="00137DC7"/>
    <w:rsid w:val="001401FE"/>
    <w:rsid w:val="00140C71"/>
    <w:rsid w:val="001415D3"/>
    <w:rsid w:val="00144797"/>
    <w:rsid w:val="0016166F"/>
    <w:rsid w:val="001672B9"/>
    <w:rsid w:val="00180C96"/>
    <w:rsid w:val="00181C08"/>
    <w:rsid w:val="00183B5D"/>
    <w:rsid w:val="0018714A"/>
    <w:rsid w:val="00190A11"/>
    <w:rsid w:val="0019294F"/>
    <w:rsid w:val="001955F6"/>
    <w:rsid w:val="001A3C2D"/>
    <w:rsid w:val="001A4EF2"/>
    <w:rsid w:val="001A6989"/>
    <w:rsid w:val="001B0380"/>
    <w:rsid w:val="001B0DD4"/>
    <w:rsid w:val="001B5461"/>
    <w:rsid w:val="001B617B"/>
    <w:rsid w:val="001C0D43"/>
    <w:rsid w:val="001C61C9"/>
    <w:rsid w:val="001D0966"/>
    <w:rsid w:val="001D233A"/>
    <w:rsid w:val="001E64C8"/>
    <w:rsid w:val="001E6ECA"/>
    <w:rsid w:val="001E701F"/>
    <w:rsid w:val="001F2B96"/>
    <w:rsid w:val="001F5ADF"/>
    <w:rsid w:val="001F5C2A"/>
    <w:rsid w:val="00206828"/>
    <w:rsid w:val="00207E39"/>
    <w:rsid w:val="00212032"/>
    <w:rsid w:val="002154C6"/>
    <w:rsid w:val="0023159A"/>
    <w:rsid w:val="002340BE"/>
    <w:rsid w:val="00237DFF"/>
    <w:rsid w:val="00241218"/>
    <w:rsid w:val="0024233A"/>
    <w:rsid w:val="00251D32"/>
    <w:rsid w:val="002528E7"/>
    <w:rsid w:val="00253C8B"/>
    <w:rsid w:val="00255F30"/>
    <w:rsid w:val="002716E5"/>
    <w:rsid w:val="0029093C"/>
    <w:rsid w:val="00291035"/>
    <w:rsid w:val="002966FF"/>
    <w:rsid w:val="002A17A0"/>
    <w:rsid w:val="002B3ABC"/>
    <w:rsid w:val="002C49F2"/>
    <w:rsid w:val="002C52B8"/>
    <w:rsid w:val="002C7F1D"/>
    <w:rsid w:val="002D6B0B"/>
    <w:rsid w:val="002D715D"/>
    <w:rsid w:val="002E0206"/>
    <w:rsid w:val="002E1679"/>
    <w:rsid w:val="002E2B8B"/>
    <w:rsid w:val="002E425C"/>
    <w:rsid w:val="002E7182"/>
    <w:rsid w:val="00307A34"/>
    <w:rsid w:val="0031296C"/>
    <w:rsid w:val="003137CF"/>
    <w:rsid w:val="00321B0C"/>
    <w:rsid w:val="00333395"/>
    <w:rsid w:val="00347EF0"/>
    <w:rsid w:val="00362176"/>
    <w:rsid w:val="003650AF"/>
    <w:rsid w:val="00372026"/>
    <w:rsid w:val="0037418C"/>
    <w:rsid w:val="00375415"/>
    <w:rsid w:val="00375C4C"/>
    <w:rsid w:val="003766F3"/>
    <w:rsid w:val="00376DC1"/>
    <w:rsid w:val="0037789E"/>
    <w:rsid w:val="003813FD"/>
    <w:rsid w:val="0038537B"/>
    <w:rsid w:val="00395598"/>
    <w:rsid w:val="003A2D36"/>
    <w:rsid w:val="003A56FE"/>
    <w:rsid w:val="003B03E8"/>
    <w:rsid w:val="003C2EC6"/>
    <w:rsid w:val="003C39C7"/>
    <w:rsid w:val="003D082D"/>
    <w:rsid w:val="003F3B18"/>
    <w:rsid w:val="003F5009"/>
    <w:rsid w:val="003F656D"/>
    <w:rsid w:val="003F6A2A"/>
    <w:rsid w:val="004001AF"/>
    <w:rsid w:val="0041227E"/>
    <w:rsid w:val="00414A5D"/>
    <w:rsid w:val="00422C94"/>
    <w:rsid w:val="0043100D"/>
    <w:rsid w:val="00435D8D"/>
    <w:rsid w:val="0044202C"/>
    <w:rsid w:val="00443517"/>
    <w:rsid w:val="00444803"/>
    <w:rsid w:val="004461AB"/>
    <w:rsid w:val="004519E8"/>
    <w:rsid w:val="00462225"/>
    <w:rsid w:val="004670F0"/>
    <w:rsid w:val="004705C9"/>
    <w:rsid w:val="004746CF"/>
    <w:rsid w:val="00475F19"/>
    <w:rsid w:val="00477864"/>
    <w:rsid w:val="00483190"/>
    <w:rsid w:val="00490574"/>
    <w:rsid w:val="00491630"/>
    <w:rsid w:val="0049508C"/>
    <w:rsid w:val="004954B3"/>
    <w:rsid w:val="004958B3"/>
    <w:rsid w:val="004973C5"/>
    <w:rsid w:val="004A4CAB"/>
    <w:rsid w:val="004A5B47"/>
    <w:rsid w:val="004A6D08"/>
    <w:rsid w:val="004B1523"/>
    <w:rsid w:val="004B1BF9"/>
    <w:rsid w:val="004B602C"/>
    <w:rsid w:val="004B72FA"/>
    <w:rsid w:val="004D3E16"/>
    <w:rsid w:val="004D3F60"/>
    <w:rsid w:val="004D714F"/>
    <w:rsid w:val="004D73CC"/>
    <w:rsid w:val="004F3E58"/>
    <w:rsid w:val="004F5838"/>
    <w:rsid w:val="004F5B82"/>
    <w:rsid w:val="004F7227"/>
    <w:rsid w:val="004F7739"/>
    <w:rsid w:val="0050052F"/>
    <w:rsid w:val="00505CFE"/>
    <w:rsid w:val="00505EB6"/>
    <w:rsid w:val="0051011E"/>
    <w:rsid w:val="0051240C"/>
    <w:rsid w:val="00512A02"/>
    <w:rsid w:val="00513ECE"/>
    <w:rsid w:val="0051638A"/>
    <w:rsid w:val="005167A8"/>
    <w:rsid w:val="00516815"/>
    <w:rsid w:val="00516B5D"/>
    <w:rsid w:val="005172D6"/>
    <w:rsid w:val="005179EE"/>
    <w:rsid w:val="00521A92"/>
    <w:rsid w:val="00522622"/>
    <w:rsid w:val="00522DA1"/>
    <w:rsid w:val="00536DF5"/>
    <w:rsid w:val="005413A4"/>
    <w:rsid w:val="0054154B"/>
    <w:rsid w:val="00542BD5"/>
    <w:rsid w:val="005503AB"/>
    <w:rsid w:val="00554EDE"/>
    <w:rsid w:val="00557544"/>
    <w:rsid w:val="00563458"/>
    <w:rsid w:val="005709C1"/>
    <w:rsid w:val="00570CE4"/>
    <w:rsid w:val="0057672D"/>
    <w:rsid w:val="00581092"/>
    <w:rsid w:val="00591B96"/>
    <w:rsid w:val="005964DC"/>
    <w:rsid w:val="00596A59"/>
    <w:rsid w:val="00596AA5"/>
    <w:rsid w:val="005A62B8"/>
    <w:rsid w:val="005A7D83"/>
    <w:rsid w:val="005B60B1"/>
    <w:rsid w:val="005B6451"/>
    <w:rsid w:val="005C0C01"/>
    <w:rsid w:val="005C5EE8"/>
    <w:rsid w:val="005C60E0"/>
    <w:rsid w:val="005C6687"/>
    <w:rsid w:val="005E01E6"/>
    <w:rsid w:val="005E189E"/>
    <w:rsid w:val="005E5BF7"/>
    <w:rsid w:val="005E79CC"/>
    <w:rsid w:val="005F3B07"/>
    <w:rsid w:val="005F6258"/>
    <w:rsid w:val="005F70EA"/>
    <w:rsid w:val="00604C4C"/>
    <w:rsid w:val="006051D0"/>
    <w:rsid w:val="006059F7"/>
    <w:rsid w:val="006206EC"/>
    <w:rsid w:val="0062171F"/>
    <w:rsid w:val="0063406B"/>
    <w:rsid w:val="00636096"/>
    <w:rsid w:val="006414CD"/>
    <w:rsid w:val="00641676"/>
    <w:rsid w:val="006453B6"/>
    <w:rsid w:val="006617F8"/>
    <w:rsid w:val="0066348C"/>
    <w:rsid w:val="00667AD3"/>
    <w:rsid w:val="00671D22"/>
    <w:rsid w:val="00672A53"/>
    <w:rsid w:val="00674FD7"/>
    <w:rsid w:val="006904AF"/>
    <w:rsid w:val="006A1776"/>
    <w:rsid w:val="006C023F"/>
    <w:rsid w:val="006D08EE"/>
    <w:rsid w:val="006D3217"/>
    <w:rsid w:val="006D349F"/>
    <w:rsid w:val="006D43F1"/>
    <w:rsid w:val="006D5E5A"/>
    <w:rsid w:val="006D7F03"/>
    <w:rsid w:val="006D7FDD"/>
    <w:rsid w:val="006E606E"/>
    <w:rsid w:val="006F5798"/>
    <w:rsid w:val="007048D0"/>
    <w:rsid w:val="007054F5"/>
    <w:rsid w:val="00712CC4"/>
    <w:rsid w:val="00722AA9"/>
    <w:rsid w:val="007327D7"/>
    <w:rsid w:val="00740BF6"/>
    <w:rsid w:val="007412FB"/>
    <w:rsid w:val="00743096"/>
    <w:rsid w:val="00753A24"/>
    <w:rsid w:val="007566E2"/>
    <w:rsid w:val="00757433"/>
    <w:rsid w:val="00775379"/>
    <w:rsid w:val="007755BF"/>
    <w:rsid w:val="007813B4"/>
    <w:rsid w:val="0078363D"/>
    <w:rsid w:val="007905BC"/>
    <w:rsid w:val="0079077C"/>
    <w:rsid w:val="00790DB1"/>
    <w:rsid w:val="00792678"/>
    <w:rsid w:val="007A3023"/>
    <w:rsid w:val="007A47A2"/>
    <w:rsid w:val="007B431E"/>
    <w:rsid w:val="007C1974"/>
    <w:rsid w:val="007C1D87"/>
    <w:rsid w:val="007C2634"/>
    <w:rsid w:val="007C29A9"/>
    <w:rsid w:val="007C301F"/>
    <w:rsid w:val="007C3B35"/>
    <w:rsid w:val="007D0080"/>
    <w:rsid w:val="007D1CB8"/>
    <w:rsid w:val="007D304E"/>
    <w:rsid w:val="007E183B"/>
    <w:rsid w:val="007E48C4"/>
    <w:rsid w:val="007F1BE0"/>
    <w:rsid w:val="007F70C4"/>
    <w:rsid w:val="008107B7"/>
    <w:rsid w:val="00810E7E"/>
    <w:rsid w:val="008127E4"/>
    <w:rsid w:val="00813582"/>
    <w:rsid w:val="00817611"/>
    <w:rsid w:val="00822BDF"/>
    <w:rsid w:val="00824006"/>
    <w:rsid w:val="008259EE"/>
    <w:rsid w:val="0083030A"/>
    <w:rsid w:val="00831078"/>
    <w:rsid w:val="008314B1"/>
    <w:rsid w:val="00832376"/>
    <w:rsid w:val="00853102"/>
    <w:rsid w:val="00853F5F"/>
    <w:rsid w:val="0085441C"/>
    <w:rsid w:val="00856FAF"/>
    <w:rsid w:val="00857BAB"/>
    <w:rsid w:val="008603E2"/>
    <w:rsid w:val="00861EED"/>
    <w:rsid w:val="00873422"/>
    <w:rsid w:val="00874EC4"/>
    <w:rsid w:val="00876F8D"/>
    <w:rsid w:val="008865A4"/>
    <w:rsid w:val="00893824"/>
    <w:rsid w:val="008938D3"/>
    <w:rsid w:val="0089549C"/>
    <w:rsid w:val="008963E4"/>
    <w:rsid w:val="00897666"/>
    <w:rsid w:val="008A3686"/>
    <w:rsid w:val="008B0DD1"/>
    <w:rsid w:val="008B314F"/>
    <w:rsid w:val="008B53FF"/>
    <w:rsid w:val="008B7AE3"/>
    <w:rsid w:val="008C256C"/>
    <w:rsid w:val="008C3096"/>
    <w:rsid w:val="008C4E9D"/>
    <w:rsid w:val="008C56C6"/>
    <w:rsid w:val="008C6AA2"/>
    <w:rsid w:val="008D024D"/>
    <w:rsid w:val="008D1FD6"/>
    <w:rsid w:val="008D3DDD"/>
    <w:rsid w:val="008D6526"/>
    <w:rsid w:val="008E3E83"/>
    <w:rsid w:val="008F298B"/>
    <w:rsid w:val="0090086C"/>
    <w:rsid w:val="00903001"/>
    <w:rsid w:val="00905622"/>
    <w:rsid w:val="009139F3"/>
    <w:rsid w:val="0091569D"/>
    <w:rsid w:val="00915F92"/>
    <w:rsid w:val="00922E90"/>
    <w:rsid w:val="00927ED7"/>
    <w:rsid w:val="00927F44"/>
    <w:rsid w:val="00935303"/>
    <w:rsid w:val="009428C2"/>
    <w:rsid w:val="00945E76"/>
    <w:rsid w:val="00950D85"/>
    <w:rsid w:val="009605FD"/>
    <w:rsid w:val="00962513"/>
    <w:rsid w:val="00962C9B"/>
    <w:rsid w:val="00970583"/>
    <w:rsid w:val="009731BC"/>
    <w:rsid w:val="00974BDE"/>
    <w:rsid w:val="00974D7D"/>
    <w:rsid w:val="00975C31"/>
    <w:rsid w:val="00975EED"/>
    <w:rsid w:val="00976846"/>
    <w:rsid w:val="00980511"/>
    <w:rsid w:val="00983392"/>
    <w:rsid w:val="00992ADB"/>
    <w:rsid w:val="00992D35"/>
    <w:rsid w:val="009972BF"/>
    <w:rsid w:val="009A42F5"/>
    <w:rsid w:val="009B23D0"/>
    <w:rsid w:val="009B6168"/>
    <w:rsid w:val="009B7C5E"/>
    <w:rsid w:val="009C13A1"/>
    <w:rsid w:val="009C6E06"/>
    <w:rsid w:val="009C7BEA"/>
    <w:rsid w:val="009D4BDB"/>
    <w:rsid w:val="009E53C2"/>
    <w:rsid w:val="009E53F8"/>
    <w:rsid w:val="009F5928"/>
    <w:rsid w:val="00A0629F"/>
    <w:rsid w:val="00A1012B"/>
    <w:rsid w:val="00A151CB"/>
    <w:rsid w:val="00A152AE"/>
    <w:rsid w:val="00A21845"/>
    <w:rsid w:val="00A278E4"/>
    <w:rsid w:val="00A352F2"/>
    <w:rsid w:val="00A41526"/>
    <w:rsid w:val="00A41810"/>
    <w:rsid w:val="00A41AB9"/>
    <w:rsid w:val="00A47B77"/>
    <w:rsid w:val="00A55A04"/>
    <w:rsid w:val="00A66765"/>
    <w:rsid w:val="00A70E05"/>
    <w:rsid w:val="00A7205B"/>
    <w:rsid w:val="00A72F2E"/>
    <w:rsid w:val="00A75B78"/>
    <w:rsid w:val="00A84A21"/>
    <w:rsid w:val="00A92411"/>
    <w:rsid w:val="00A94BB4"/>
    <w:rsid w:val="00A94C0E"/>
    <w:rsid w:val="00A96AB2"/>
    <w:rsid w:val="00A96BAA"/>
    <w:rsid w:val="00AA4CAF"/>
    <w:rsid w:val="00AA630E"/>
    <w:rsid w:val="00AB1180"/>
    <w:rsid w:val="00AB63BB"/>
    <w:rsid w:val="00AC00E4"/>
    <w:rsid w:val="00AC017F"/>
    <w:rsid w:val="00AC4174"/>
    <w:rsid w:val="00AC49E2"/>
    <w:rsid w:val="00AC7E57"/>
    <w:rsid w:val="00AD12B2"/>
    <w:rsid w:val="00AD2873"/>
    <w:rsid w:val="00AD3923"/>
    <w:rsid w:val="00AE7D39"/>
    <w:rsid w:val="00AF46B5"/>
    <w:rsid w:val="00AF5083"/>
    <w:rsid w:val="00AF735C"/>
    <w:rsid w:val="00B003D4"/>
    <w:rsid w:val="00B01EB4"/>
    <w:rsid w:val="00B03848"/>
    <w:rsid w:val="00B05488"/>
    <w:rsid w:val="00B071B6"/>
    <w:rsid w:val="00B127FC"/>
    <w:rsid w:val="00B12C1C"/>
    <w:rsid w:val="00B16F79"/>
    <w:rsid w:val="00B25A93"/>
    <w:rsid w:val="00B26C37"/>
    <w:rsid w:val="00B336E2"/>
    <w:rsid w:val="00B47492"/>
    <w:rsid w:val="00B52D2B"/>
    <w:rsid w:val="00B56DC7"/>
    <w:rsid w:val="00B57082"/>
    <w:rsid w:val="00B57C8A"/>
    <w:rsid w:val="00B72D9B"/>
    <w:rsid w:val="00B874E9"/>
    <w:rsid w:val="00B90D07"/>
    <w:rsid w:val="00B93C67"/>
    <w:rsid w:val="00BA2A00"/>
    <w:rsid w:val="00BA49DC"/>
    <w:rsid w:val="00BA5527"/>
    <w:rsid w:val="00BA5CD3"/>
    <w:rsid w:val="00BB0D8D"/>
    <w:rsid w:val="00BB1963"/>
    <w:rsid w:val="00BB21B2"/>
    <w:rsid w:val="00BB2AF1"/>
    <w:rsid w:val="00BC1B60"/>
    <w:rsid w:val="00BC2486"/>
    <w:rsid w:val="00BC397F"/>
    <w:rsid w:val="00BC5FB1"/>
    <w:rsid w:val="00BC68B4"/>
    <w:rsid w:val="00BD5B67"/>
    <w:rsid w:val="00BD7140"/>
    <w:rsid w:val="00BE1B72"/>
    <w:rsid w:val="00BE3AEE"/>
    <w:rsid w:val="00BE4AFC"/>
    <w:rsid w:val="00BE7242"/>
    <w:rsid w:val="00BE7B36"/>
    <w:rsid w:val="00BF0C04"/>
    <w:rsid w:val="00BF269A"/>
    <w:rsid w:val="00BF4482"/>
    <w:rsid w:val="00C01235"/>
    <w:rsid w:val="00C14651"/>
    <w:rsid w:val="00C17E21"/>
    <w:rsid w:val="00C207FB"/>
    <w:rsid w:val="00C218A7"/>
    <w:rsid w:val="00C24E23"/>
    <w:rsid w:val="00C2543F"/>
    <w:rsid w:val="00C31374"/>
    <w:rsid w:val="00C35FC5"/>
    <w:rsid w:val="00C362F4"/>
    <w:rsid w:val="00C37416"/>
    <w:rsid w:val="00C37EDF"/>
    <w:rsid w:val="00C411F0"/>
    <w:rsid w:val="00C42F58"/>
    <w:rsid w:val="00C50BB8"/>
    <w:rsid w:val="00C51F67"/>
    <w:rsid w:val="00C63BB5"/>
    <w:rsid w:val="00C65663"/>
    <w:rsid w:val="00C65FE4"/>
    <w:rsid w:val="00C735CB"/>
    <w:rsid w:val="00C737D2"/>
    <w:rsid w:val="00C75076"/>
    <w:rsid w:val="00C869A4"/>
    <w:rsid w:val="00C91812"/>
    <w:rsid w:val="00CA29CC"/>
    <w:rsid w:val="00CB2814"/>
    <w:rsid w:val="00CB2D91"/>
    <w:rsid w:val="00CC4360"/>
    <w:rsid w:val="00CC4499"/>
    <w:rsid w:val="00CC582C"/>
    <w:rsid w:val="00CC5A0A"/>
    <w:rsid w:val="00CD78AE"/>
    <w:rsid w:val="00CE19B6"/>
    <w:rsid w:val="00CE22ED"/>
    <w:rsid w:val="00CE2834"/>
    <w:rsid w:val="00CE521A"/>
    <w:rsid w:val="00CE5A2E"/>
    <w:rsid w:val="00CF2FF8"/>
    <w:rsid w:val="00CF6BE8"/>
    <w:rsid w:val="00D02F50"/>
    <w:rsid w:val="00D105ED"/>
    <w:rsid w:val="00D14326"/>
    <w:rsid w:val="00D20EF5"/>
    <w:rsid w:val="00D23589"/>
    <w:rsid w:val="00D316B4"/>
    <w:rsid w:val="00D32BAB"/>
    <w:rsid w:val="00D349A1"/>
    <w:rsid w:val="00D40FC4"/>
    <w:rsid w:val="00D45A4A"/>
    <w:rsid w:val="00D51809"/>
    <w:rsid w:val="00D53BAB"/>
    <w:rsid w:val="00D55D4D"/>
    <w:rsid w:val="00D648CE"/>
    <w:rsid w:val="00D71B41"/>
    <w:rsid w:val="00D726F0"/>
    <w:rsid w:val="00D7296F"/>
    <w:rsid w:val="00D768D0"/>
    <w:rsid w:val="00D837EF"/>
    <w:rsid w:val="00DA2627"/>
    <w:rsid w:val="00DA5EB5"/>
    <w:rsid w:val="00DB07CD"/>
    <w:rsid w:val="00DB1A9C"/>
    <w:rsid w:val="00DB40FC"/>
    <w:rsid w:val="00DB4746"/>
    <w:rsid w:val="00DB5011"/>
    <w:rsid w:val="00DD6F0F"/>
    <w:rsid w:val="00DE1970"/>
    <w:rsid w:val="00DF0715"/>
    <w:rsid w:val="00DF7101"/>
    <w:rsid w:val="00DF7D83"/>
    <w:rsid w:val="00E018B8"/>
    <w:rsid w:val="00E029AA"/>
    <w:rsid w:val="00E05C52"/>
    <w:rsid w:val="00E07D86"/>
    <w:rsid w:val="00E10A56"/>
    <w:rsid w:val="00E13F9B"/>
    <w:rsid w:val="00E14158"/>
    <w:rsid w:val="00E158F4"/>
    <w:rsid w:val="00E15DC8"/>
    <w:rsid w:val="00E20070"/>
    <w:rsid w:val="00E20728"/>
    <w:rsid w:val="00E33FA7"/>
    <w:rsid w:val="00E3441E"/>
    <w:rsid w:val="00E40781"/>
    <w:rsid w:val="00E41BC7"/>
    <w:rsid w:val="00E4349F"/>
    <w:rsid w:val="00E55C63"/>
    <w:rsid w:val="00E657FA"/>
    <w:rsid w:val="00E72BFA"/>
    <w:rsid w:val="00E81B58"/>
    <w:rsid w:val="00E82875"/>
    <w:rsid w:val="00E8310D"/>
    <w:rsid w:val="00E84F01"/>
    <w:rsid w:val="00E8659C"/>
    <w:rsid w:val="00E919C7"/>
    <w:rsid w:val="00E95686"/>
    <w:rsid w:val="00E9709C"/>
    <w:rsid w:val="00EA08AD"/>
    <w:rsid w:val="00EA23FF"/>
    <w:rsid w:val="00EA328A"/>
    <w:rsid w:val="00EB1B64"/>
    <w:rsid w:val="00EB450D"/>
    <w:rsid w:val="00EB53BA"/>
    <w:rsid w:val="00ED06D4"/>
    <w:rsid w:val="00ED2FE6"/>
    <w:rsid w:val="00ED3095"/>
    <w:rsid w:val="00ED61A7"/>
    <w:rsid w:val="00ED6624"/>
    <w:rsid w:val="00ED73AA"/>
    <w:rsid w:val="00ED7FD7"/>
    <w:rsid w:val="00EE530C"/>
    <w:rsid w:val="00EF0061"/>
    <w:rsid w:val="00EF145F"/>
    <w:rsid w:val="00EF418C"/>
    <w:rsid w:val="00F003CF"/>
    <w:rsid w:val="00F13028"/>
    <w:rsid w:val="00F158C5"/>
    <w:rsid w:val="00F22E5A"/>
    <w:rsid w:val="00F2788D"/>
    <w:rsid w:val="00F37CA0"/>
    <w:rsid w:val="00F63D30"/>
    <w:rsid w:val="00F66487"/>
    <w:rsid w:val="00F737D6"/>
    <w:rsid w:val="00F84BF6"/>
    <w:rsid w:val="00F930AC"/>
    <w:rsid w:val="00F9652A"/>
    <w:rsid w:val="00FA0629"/>
    <w:rsid w:val="00FA17B7"/>
    <w:rsid w:val="00FB05A6"/>
    <w:rsid w:val="00FB23B8"/>
    <w:rsid w:val="00FC002B"/>
    <w:rsid w:val="00FC1DC4"/>
    <w:rsid w:val="00FC2480"/>
    <w:rsid w:val="00FC289C"/>
    <w:rsid w:val="00FC3D00"/>
    <w:rsid w:val="00FC54AE"/>
    <w:rsid w:val="00FC5CC5"/>
    <w:rsid w:val="00FC5F2E"/>
    <w:rsid w:val="00FC712F"/>
    <w:rsid w:val="00FC71C0"/>
    <w:rsid w:val="00FD069B"/>
    <w:rsid w:val="00FD2516"/>
    <w:rsid w:val="00FD2579"/>
    <w:rsid w:val="00FD3D89"/>
    <w:rsid w:val="00FE4EEC"/>
    <w:rsid w:val="00FE4F9C"/>
    <w:rsid w:val="00FE5B58"/>
    <w:rsid w:val="00FE7242"/>
    <w:rsid w:val="00FF029B"/>
    <w:rsid w:val="00FF12BD"/>
    <w:rsid w:val="00FF1B13"/>
    <w:rsid w:val="00FF2109"/>
    <w:rsid w:val="00FF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26AD"/>
  <w15:docId w15:val="{729AFF0C-65B8-B04A-B74F-D14CA6FF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F0"/>
    <w:rPr>
      <w:rFonts w:ascii="Times New Roman" w:eastAsia="Times New Roman" w:hAnsi="Times New Roman" w:cs="Times New Roman"/>
      <w:sz w:val="28"/>
      <w:szCs w:val="28"/>
    </w:rPr>
  </w:style>
  <w:style w:type="paragraph" w:styleId="Heading2">
    <w:name w:val="heading 2"/>
    <w:basedOn w:val="Normal"/>
    <w:next w:val="Normal"/>
    <w:link w:val="Heading2Char"/>
    <w:uiPriority w:val="9"/>
    <w:qFormat/>
    <w:rsid w:val="0024233A"/>
    <w:pPr>
      <w:widowControl w:val="0"/>
      <w:spacing w:before="120" w:line="288" w:lineRule="auto"/>
      <w:ind w:firstLine="720"/>
      <w:jc w:val="both"/>
      <w:outlineLvl w:val="1"/>
    </w:pPr>
    <w:rPr>
      <w:b/>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347EF0"/>
    <w:pPr>
      <w:spacing w:after="160" w:line="240" w:lineRule="exact"/>
    </w:pPr>
    <w:rPr>
      <w:rFonts w:ascii="Arial" w:hAnsi="Arial" w:cs="Arial"/>
      <w:sz w:val="22"/>
      <w:szCs w:val="22"/>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t,single space,fn"/>
    <w:basedOn w:val="Normal"/>
    <w:link w:val="FootnoteTextChar3"/>
    <w:uiPriority w:val="99"/>
    <w:qFormat/>
    <w:rsid w:val="00362176"/>
    <w:rPr>
      <w:sz w:val="20"/>
      <w:szCs w:val="20"/>
    </w:rPr>
  </w:style>
  <w:style w:type="character" w:customStyle="1" w:styleId="FootnoteTextChar">
    <w:name w:val="Footnote Text Char"/>
    <w:aliases w:val="ft Char,(NECG) Footnote Text Char,single space Char,fn Char,FOOTNOTES Char1,Footnote Text Char1 Char Char,Footnote Text Char Char1 Char Char"/>
    <w:basedOn w:val="DefaultParagraphFont"/>
    <w:uiPriority w:val="99"/>
    <w:qFormat/>
    <w:rsid w:val="00362176"/>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362176"/>
    <w:rPr>
      <w:rFonts w:ascii="Times New Roman" w:eastAsia="Times New Roman" w:hAnsi="Times New Roman" w:cs="Times New Roman"/>
      <w:sz w:val="20"/>
      <w:szCs w:val="20"/>
      <w:lang w:val="en-US"/>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link w:val="ftrefCharCharCharCharChar"/>
    <w:uiPriority w:val="99"/>
    <w:qFormat/>
    <w:rsid w:val="00362176"/>
    <w:rPr>
      <w:vertAlign w:val="superscript"/>
    </w:rPr>
  </w:style>
  <w:style w:type="paragraph" w:customStyle="1" w:styleId="CharCharCharCharCharCharChar">
    <w:name w:val="Char Char Char Char Char Char Char"/>
    <w:basedOn w:val="Normal"/>
    <w:semiHidden/>
    <w:rsid w:val="00362176"/>
    <w:pPr>
      <w:spacing w:after="160" w:line="240" w:lineRule="exact"/>
    </w:pPr>
    <w:rPr>
      <w:rFonts w:ascii="Arial" w:eastAsia="MS UI Gothic" w:hAnsi="Arial" w:cs="Arial"/>
      <w:sz w:val="22"/>
      <w:szCs w:val="22"/>
    </w:rPr>
  </w:style>
  <w:style w:type="paragraph" w:styleId="Footer">
    <w:name w:val="footer"/>
    <w:basedOn w:val="Normal"/>
    <w:link w:val="FooterChar"/>
    <w:uiPriority w:val="99"/>
    <w:unhideWhenUsed/>
    <w:rsid w:val="00BD5B67"/>
    <w:pPr>
      <w:tabs>
        <w:tab w:val="center" w:pos="4680"/>
        <w:tab w:val="right" w:pos="9360"/>
      </w:tabs>
    </w:pPr>
  </w:style>
  <w:style w:type="character" w:customStyle="1" w:styleId="FooterChar">
    <w:name w:val="Footer Char"/>
    <w:basedOn w:val="DefaultParagraphFont"/>
    <w:link w:val="Footer"/>
    <w:uiPriority w:val="99"/>
    <w:rsid w:val="00BD5B67"/>
    <w:rPr>
      <w:rFonts w:ascii="Times New Roman" w:eastAsia="Times New Roman" w:hAnsi="Times New Roman" w:cs="Times New Roman"/>
      <w:sz w:val="28"/>
      <w:szCs w:val="28"/>
      <w:lang w:val="en-US"/>
    </w:rPr>
  </w:style>
  <w:style w:type="character" w:styleId="PageNumber">
    <w:name w:val="page number"/>
    <w:basedOn w:val="DefaultParagraphFont"/>
    <w:uiPriority w:val="99"/>
    <w:semiHidden/>
    <w:unhideWhenUsed/>
    <w:rsid w:val="00BD5B67"/>
  </w:style>
  <w:style w:type="table" w:styleId="TableGrid">
    <w:name w:val="Table Grid"/>
    <w:basedOn w:val="TableNormal"/>
    <w:uiPriority w:val="39"/>
    <w:rsid w:val="00BD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No Spacing1"/>
    <w:basedOn w:val="Normal"/>
    <w:link w:val="ListParagraphChar"/>
    <w:uiPriority w:val="34"/>
    <w:qFormat/>
    <w:rsid w:val="00C91812"/>
    <w:pPr>
      <w:ind w:left="720"/>
      <w:contextualSpacing/>
    </w:pPr>
  </w:style>
  <w:style w:type="character" w:customStyle="1" w:styleId="ListParagraphChar">
    <w:name w:val="List Paragraph Char"/>
    <w:aliases w:val="List Paragraph (numbered (a)) Char,List Paragraph1 Char,123 List Paragraph Char,Main numbered paragraph Char,Bullets Char,Body Char,References Char,List_Paragraph Char,Multilevel para_II Char,Bullet Char,Normal 2 DC Char,Liste 1 Char"/>
    <w:link w:val="ListParagraph"/>
    <w:uiPriority w:val="34"/>
    <w:locked/>
    <w:rsid w:val="007C1D87"/>
    <w:rPr>
      <w:rFonts w:ascii="Times New Roman" w:eastAsia="Times New Roman" w:hAnsi="Times New Roman" w:cs="Times New Roman"/>
      <w:sz w:val="28"/>
      <w:szCs w:val="28"/>
      <w:lang w:val="en-US"/>
    </w:rPr>
  </w:style>
  <w:style w:type="paragraph" w:styleId="NormalWeb">
    <w:name w:val="Normal (Web)"/>
    <w:aliases w:val="Char Char,Char Char Char Char Char Char Char Char Char"/>
    <w:basedOn w:val="Normal"/>
    <w:link w:val="NormalWebChar"/>
    <w:uiPriority w:val="99"/>
    <w:rsid w:val="007C1D87"/>
    <w:pPr>
      <w:spacing w:before="100" w:beforeAutospacing="1" w:after="100" w:afterAutospacing="1"/>
      <w:jc w:val="both"/>
    </w:pPr>
    <w:rPr>
      <w:sz w:val="24"/>
      <w:szCs w:val="24"/>
    </w:rPr>
  </w:style>
  <w:style w:type="character" w:customStyle="1" w:styleId="NormalWebChar">
    <w:name w:val="Normal (Web) Char"/>
    <w:aliases w:val="Char Char Char,Char Char Char Char Char Char Char Char Char Char"/>
    <w:link w:val="NormalWeb"/>
    <w:uiPriority w:val="99"/>
    <w:locked/>
    <w:rsid w:val="007C1D87"/>
    <w:rPr>
      <w:rFonts w:ascii="Times New Roman" w:eastAsia="Times New Roman" w:hAnsi="Times New Roman" w:cs="Times New Roman"/>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qFormat/>
    <w:rsid w:val="00435D8D"/>
    <w:pPr>
      <w:spacing w:before="100" w:line="240" w:lineRule="exact"/>
    </w:pPr>
    <w:rPr>
      <w:rFonts w:asciiTheme="minorHAnsi" w:eastAsiaTheme="minorHAnsi" w:hAnsiTheme="minorHAnsi" w:cstheme="minorBidi"/>
      <w:sz w:val="24"/>
      <w:szCs w:val="24"/>
      <w:vertAlign w:val="superscript"/>
    </w:rPr>
  </w:style>
  <w:style w:type="character" w:customStyle="1" w:styleId="Heading2Char">
    <w:name w:val="Heading 2 Char"/>
    <w:basedOn w:val="DefaultParagraphFont"/>
    <w:link w:val="Heading2"/>
    <w:uiPriority w:val="9"/>
    <w:rsid w:val="0024233A"/>
    <w:rPr>
      <w:rFonts w:ascii="Times New Roman" w:eastAsia="Times New Roman" w:hAnsi="Times New Roman" w:cs="Times New Roman"/>
      <w:b/>
      <w:i/>
      <w:sz w:val="28"/>
      <w:szCs w:val="28"/>
      <w:lang w:val="vi-VN"/>
    </w:rPr>
  </w:style>
  <w:style w:type="character" w:styleId="Emphasis">
    <w:name w:val="Emphasis"/>
    <w:basedOn w:val="DefaultParagraphFont"/>
    <w:uiPriority w:val="20"/>
    <w:qFormat/>
    <w:rsid w:val="008963E4"/>
    <w:rPr>
      <w:i/>
      <w:iCs/>
    </w:rPr>
  </w:style>
  <w:style w:type="paragraph" w:styleId="Header">
    <w:name w:val="header"/>
    <w:basedOn w:val="Normal"/>
    <w:link w:val="HeaderChar"/>
    <w:uiPriority w:val="99"/>
    <w:unhideWhenUsed/>
    <w:rsid w:val="00EA23FF"/>
    <w:pPr>
      <w:tabs>
        <w:tab w:val="center" w:pos="4680"/>
        <w:tab w:val="right" w:pos="9360"/>
      </w:tabs>
    </w:pPr>
  </w:style>
  <w:style w:type="character" w:customStyle="1" w:styleId="HeaderChar">
    <w:name w:val="Header Char"/>
    <w:basedOn w:val="DefaultParagraphFont"/>
    <w:link w:val="Header"/>
    <w:uiPriority w:val="99"/>
    <w:rsid w:val="00EA23FF"/>
    <w:rPr>
      <w:rFonts w:ascii="Times New Roman" w:eastAsia="Times New Roman" w:hAnsi="Times New Roman" w:cs="Times New Roman"/>
      <w:sz w:val="28"/>
      <w:szCs w:val="28"/>
      <w:lang w:val="en-US"/>
    </w:rPr>
  </w:style>
  <w:style w:type="character" w:styleId="CommentReference">
    <w:name w:val="annotation reference"/>
    <w:basedOn w:val="DefaultParagraphFont"/>
    <w:uiPriority w:val="99"/>
    <w:semiHidden/>
    <w:unhideWhenUsed/>
    <w:rsid w:val="006051D0"/>
    <w:rPr>
      <w:sz w:val="16"/>
      <w:szCs w:val="16"/>
    </w:rPr>
  </w:style>
  <w:style w:type="paragraph" w:styleId="CommentText">
    <w:name w:val="annotation text"/>
    <w:basedOn w:val="Normal"/>
    <w:link w:val="CommentTextChar"/>
    <w:uiPriority w:val="99"/>
    <w:unhideWhenUsed/>
    <w:rsid w:val="006051D0"/>
    <w:rPr>
      <w:sz w:val="20"/>
      <w:szCs w:val="20"/>
    </w:rPr>
  </w:style>
  <w:style w:type="character" w:customStyle="1" w:styleId="CommentTextChar">
    <w:name w:val="Comment Text Char"/>
    <w:basedOn w:val="DefaultParagraphFont"/>
    <w:link w:val="CommentText"/>
    <w:uiPriority w:val="99"/>
    <w:rsid w:val="006051D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51D0"/>
    <w:rPr>
      <w:b/>
      <w:bCs/>
    </w:rPr>
  </w:style>
  <w:style w:type="character" w:customStyle="1" w:styleId="CommentSubjectChar">
    <w:name w:val="Comment Subject Char"/>
    <w:basedOn w:val="CommentTextChar"/>
    <w:link w:val="CommentSubject"/>
    <w:uiPriority w:val="99"/>
    <w:semiHidden/>
    <w:rsid w:val="006051D0"/>
    <w:rPr>
      <w:rFonts w:ascii="Times New Roman" w:eastAsia="Times New Roman" w:hAnsi="Times New Roman" w:cs="Times New Roman"/>
      <w:b/>
      <w:bCs/>
      <w:sz w:val="20"/>
      <w:szCs w:val="20"/>
      <w:lang w:val="en-US"/>
    </w:rPr>
  </w:style>
  <w:style w:type="paragraph" w:styleId="Title">
    <w:name w:val="Title"/>
    <w:basedOn w:val="Normal"/>
    <w:next w:val="Normal"/>
    <w:link w:val="TitleChar"/>
    <w:qFormat/>
    <w:rsid w:val="00FE4F9C"/>
    <w:pPr>
      <w:widowControl w:val="0"/>
      <w:spacing w:after="120"/>
      <w:ind w:firstLine="720"/>
      <w:jc w:val="both"/>
    </w:pPr>
    <w:rPr>
      <w:b/>
      <w:sz w:val="24"/>
      <w:szCs w:val="24"/>
    </w:rPr>
  </w:style>
  <w:style w:type="character" w:customStyle="1" w:styleId="TitleChar">
    <w:name w:val="Title Char"/>
    <w:basedOn w:val="DefaultParagraphFont"/>
    <w:link w:val="Title"/>
    <w:rsid w:val="00FE4F9C"/>
    <w:rPr>
      <w:rFonts w:ascii="Times New Roman" w:eastAsia="Times New Roman" w:hAnsi="Times New Roman" w:cs="Times New Roman"/>
      <w:b/>
    </w:rPr>
  </w:style>
  <w:style w:type="paragraph" w:styleId="Revision">
    <w:name w:val="Revision"/>
    <w:hidden/>
    <w:uiPriority w:val="99"/>
    <w:semiHidden/>
    <w:rsid w:val="001E701F"/>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927F44"/>
    <w:rPr>
      <w:color w:val="0000FF"/>
      <w:u w:val="single"/>
    </w:rPr>
  </w:style>
  <w:style w:type="paragraph" w:styleId="BalloonText">
    <w:name w:val="Balloon Text"/>
    <w:basedOn w:val="Normal"/>
    <w:link w:val="BalloonTextChar"/>
    <w:uiPriority w:val="99"/>
    <w:semiHidden/>
    <w:unhideWhenUsed/>
    <w:rsid w:val="004B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373">
      <w:bodyDiv w:val="1"/>
      <w:marLeft w:val="0"/>
      <w:marRight w:val="0"/>
      <w:marTop w:val="0"/>
      <w:marBottom w:val="0"/>
      <w:divBdr>
        <w:top w:val="none" w:sz="0" w:space="0" w:color="auto"/>
        <w:left w:val="none" w:sz="0" w:space="0" w:color="auto"/>
        <w:bottom w:val="none" w:sz="0" w:space="0" w:color="auto"/>
        <w:right w:val="none" w:sz="0" w:space="0" w:color="auto"/>
      </w:divBdr>
      <w:divsChild>
        <w:div w:id="2089571584">
          <w:marLeft w:val="446"/>
          <w:marRight w:val="0"/>
          <w:marTop w:val="0"/>
          <w:marBottom w:val="0"/>
          <w:divBdr>
            <w:top w:val="none" w:sz="0" w:space="0" w:color="auto"/>
            <w:left w:val="none" w:sz="0" w:space="0" w:color="auto"/>
            <w:bottom w:val="none" w:sz="0" w:space="0" w:color="auto"/>
            <w:right w:val="none" w:sz="0" w:space="0" w:color="auto"/>
          </w:divBdr>
        </w:div>
      </w:divsChild>
    </w:div>
    <w:div w:id="297876035">
      <w:bodyDiv w:val="1"/>
      <w:marLeft w:val="0"/>
      <w:marRight w:val="0"/>
      <w:marTop w:val="0"/>
      <w:marBottom w:val="0"/>
      <w:divBdr>
        <w:top w:val="none" w:sz="0" w:space="0" w:color="auto"/>
        <w:left w:val="none" w:sz="0" w:space="0" w:color="auto"/>
        <w:bottom w:val="none" w:sz="0" w:space="0" w:color="auto"/>
        <w:right w:val="none" w:sz="0" w:space="0" w:color="auto"/>
      </w:divBdr>
    </w:div>
    <w:div w:id="401875517">
      <w:bodyDiv w:val="1"/>
      <w:marLeft w:val="0"/>
      <w:marRight w:val="0"/>
      <w:marTop w:val="0"/>
      <w:marBottom w:val="0"/>
      <w:divBdr>
        <w:top w:val="none" w:sz="0" w:space="0" w:color="auto"/>
        <w:left w:val="none" w:sz="0" w:space="0" w:color="auto"/>
        <w:bottom w:val="none" w:sz="0" w:space="0" w:color="auto"/>
        <w:right w:val="none" w:sz="0" w:space="0" w:color="auto"/>
      </w:divBdr>
    </w:div>
    <w:div w:id="669413233">
      <w:bodyDiv w:val="1"/>
      <w:marLeft w:val="0"/>
      <w:marRight w:val="0"/>
      <w:marTop w:val="0"/>
      <w:marBottom w:val="0"/>
      <w:divBdr>
        <w:top w:val="none" w:sz="0" w:space="0" w:color="auto"/>
        <w:left w:val="none" w:sz="0" w:space="0" w:color="auto"/>
        <w:bottom w:val="none" w:sz="0" w:space="0" w:color="auto"/>
        <w:right w:val="none" w:sz="0" w:space="0" w:color="auto"/>
      </w:divBdr>
    </w:div>
    <w:div w:id="835654389">
      <w:bodyDiv w:val="1"/>
      <w:marLeft w:val="0"/>
      <w:marRight w:val="0"/>
      <w:marTop w:val="0"/>
      <w:marBottom w:val="0"/>
      <w:divBdr>
        <w:top w:val="none" w:sz="0" w:space="0" w:color="auto"/>
        <w:left w:val="none" w:sz="0" w:space="0" w:color="auto"/>
        <w:bottom w:val="none" w:sz="0" w:space="0" w:color="auto"/>
        <w:right w:val="none" w:sz="0" w:space="0" w:color="auto"/>
      </w:divBdr>
    </w:div>
    <w:div w:id="905186915">
      <w:bodyDiv w:val="1"/>
      <w:marLeft w:val="0"/>
      <w:marRight w:val="0"/>
      <w:marTop w:val="0"/>
      <w:marBottom w:val="0"/>
      <w:divBdr>
        <w:top w:val="none" w:sz="0" w:space="0" w:color="auto"/>
        <w:left w:val="none" w:sz="0" w:space="0" w:color="auto"/>
        <w:bottom w:val="none" w:sz="0" w:space="0" w:color="auto"/>
        <w:right w:val="none" w:sz="0" w:space="0" w:color="auto"/>
      </w:divBdr>
    </w:div>
    <w:div w:id="926813947">
      <w:bodyDiv w:val="1"/>
      <w:marLeft w:val="0"/>
      <w:marRight w:val="0"/>
      <w:marTop w:val="0"/>
      <w:marBottom w:val="0"/>
      <w:divBdr>
        <w:top w:val="none" w:sz="0" w:space="0" w:color="auto"/>
        <w:left w:val="none" w:sz="0" w:space="0" w:color="auto"/>
        <w:bottom w:val="none" w:sz="0" w:space="0" w:color="auto"/>
        <w:right w:val="none" w:sz="0" w:space="0" w:color="auto"/>
      </w:divBdr>
    </w:div>
    <w:div w:id="986788777">
      <w:bodyDiv w:val="1"/>
      <w:marLeft w:val="0"/>
      <w:marRight w:val="0"/>
      <w:marTop w:val="0"/>
      <w:marBottom w:val="0"/>
      <w:divBdr>
        <w:top w:val="none" w:sz="0" w:space="0" w:color="auto"/>
        <w:left w:val="none" w:sz="0" w:space="0" w:color="auto"/>
        <w:bottom w:val="none" w:sz="0" w:space="0" w:color="auto"/>
        <w:right w:val="none" w:sz="0" w:space="0" w:color="auto"/>
      </w:divBdr>
      <w:divsChild>
        <w:div w:id="1471438121">
          <w:marLeft w:val="1080"/>
          <w:marRight w:val="0"/>
          <w:marTop w:val="100"/>
          <w:marBottom w:val="0"/>
          <w:divBdr>
            <w:top w:val="none" w:sz="0" w:space="0" w:color="auto"/>
            <w:left w:val="none" w:sz="0" w:space="0" w:color="auto"/>
            <w:bottom w:val="none" w:sz="0" w:space="0" w:color="auto"/>
            <w:right w:val="none" w:sz="0" w:space="0" w:color="auto"/>
          </w:divBdr>
        </w:div>
        <w:div w:id="1163080886">
          <w:marLeft w:val="1800"/>
          <w:marRight w:val="0"/>
          <w:marTop w:val="100"/>
          <w:marBottom w:val="0"/>
          <w:divBdr>
            <w:top w:val="none" w:sz="0" w:space="0" w:color="auto"/>
            <w:left w:val="none" w:sz="0" w:space="0" w:color="auto"/>
            <w:bottom w:val="none" w:sz="0" w:space="0" w:color="auto"/>
            <w:right w:val="none" w:sz="0" w:space="0" w:color="auto"/>
          </w:divBdr>
        </w:div>
        <w:div w:id="58745258">
          <w:marLeft w:val="1800"/>
          <w:marRight w:val="0"/>
          <w:marTop w:val="100"/>
          <w:marBottom w:val="0"/>
          <w:divBdr>
            <w:top w:val="none" w:sz="0" w:space="0" w:color="auto"/>
            <w:left w:val="none" w:sz="0" w:space="0" w:color="auto"/>
            <w:bottom w:val="none" w:sz="0" w:space="0" w:color="auto"/>
            <w:right w:val="none" w:sz="0" w:space="0" w:color="auto"/>
          </w:divBdr>
        </w:div>
        <w:div w:id="1108966132">
          <w:marLeft w:val="1800"/>
          <w:marRight w:val="0"/>
          <w:marTop w:val="100"/>
          <w:marBottom w:val="0"/>
          <w:divBdr>
            <w:top w:val="none" w:sz="0" w:space="0" w:color="auto"/>
            <w:left w:val="none" w:sz="0" w:space="0" w:color="auto"/>
            <w:bottom w:val="none" w:sz="0" w:space="0" w:color="auto"/>
            <w:right w:val="none" w:sz="0" w:space="0" w:color="auto"/>
          </w:divBdr>
        </w:div>
        <w:div w:id="378290400">
          <w:marLeft w:val="1800"/>
          <w:marRight w:val="0"/>
          <w:marTop w:val="100"/>
          <w:marBottom w:val="0"/>
          <w:divBdr>
            <w:top w:val="none" w:sz="0" w:space="0" w:color="auto"/>
            <w:left w:val="none" w:sz="0" w:space="0" w:color="auto"/>
            <w:bottom w:val="none" w:sz="0" w:space="0" w:color="auto"/>
            <w:right w:val="none" w:sz="0" w:space="0" w:color="auto"/>
          </w:divBdr>
        </w:div>
        <w:div w:id="1423451344">
          <w:marLeft w:val="1800"/>
          <w:marRight w:val="0"/>
          <w:marTop w:val="100"/>
          <w:marBottom w:val="0"/>
          <w:divBdr>
            <w:top w:val="none" w:sz="0" w:space="0" w:color="auto"/>
            <w:left w:val="none" w:sz="0" w:space="0" w:color="auto"/>
            <w:bottom w:val="none" w:sz="0" w:space="0" w:color="auto"/>
            <w:right w:val="none" w:sz="0" w:space="0" w:color="auto"/>
          </w:divBdr>
        </w:div>
        <w:div w:id="2033267193">
          <w:marLeft w:val="1800"/>
          <w:marRight w:val="0"/>
          <w:marTop w:val="100"/>
          <w:marBottom w:val="0"/>
          <w:divBdr>
            <w:top w:val="none" w:sz="0" w:space="0" w:color="auto"/>
            <w:left w:val="none" w:sz="0" w:space="0" w:color="auto"/>
            <w:bottom w:val="none" w:sz="0" w:space="0" w:color="auto"/>
            <w:right w:val="none" w:sz="0" w:space="0" w:color="auto"/>
          </w:divBdr>
        </w:div>
      </w:divsChild>
    </w:div>
    <w:div w:id="1082919338">
      <w:bodyDiv w:val="1"/>
      <w:marLeft w:val="0"/>
      <w:marRight w:val="0"/>
      <w:marTop w:val="0"/>
      <w:marBottom w:val="0"/>
      <w:divBdr>
        <w:top w:val="none" w:sz="0" w:space="0" w:color="auto"/>
        <w:left w:val="none" w:sz="0" w:space="0" w:color="auto"/>
        <w:bottom w:val="none" w:sz="0" w:space="0" w:color="auto"/>
        <w:right w:val="none" w:sz="0" w:space="0" w:color="auto"/>
      </w:divBdr>
    </w:div>
    <w:div w:id="1446271185">
      <w:bodyDiv w:val="1"/>
      <w:marLeft w:val="0"/>
      <w:marRight w:val="0"/>
      <w:marTop w:val="0"/>
      <w:marBottom w:val="0"/>
      <w:divBdr>
        <w:top w:val="none" w:sz="0" w:space="0" w:color="auto"/>
        <w:left w:val="none" w:sz="0" w:space="0" w:color="auto"/>
        <w:bottom w:val="none" w:sz="0" w:space="0" w:color="auto"/>
        <w:right w:val="none" w:sz="0" w:space="0" w:color="auto"/>
      </w:divBdr>
    </w:div>
    <w:div w:id="1452170406">
      <w:bodyDiv w:val="1"/>
      <w:marLeft w:val="0"/>
      <w:marRight w:val="0"/>
      <w:marTop w:val="0"/>
      <w:marBottom w:val="0"/>
      <w:divBdr>
        <w:top w:val="none" w:sz="0" w:space="0" w:color="auto"/>
        <w:left w:val="none" w:sz="0" w:space="0" w:color="auto"/>
        <w:bottom w:val="none" w:sz="0" w:space="0" w:color="auto"/>
        <w:right w:val="none" w:sz="0" w:space="0" w:color="auto"/>
      </w:divBdr>
      <w:divsChild>
        <w:div w:id="2127386656">
          <w:marLeft w:val="1080"/>
          <w:marRight w:val="0"/>
          <w:marTop w:val="100"/>
          <w:marBottom w:val="0"/>
          <w:divBdr>
            <w:top w:val="none" w:sz="0" w:space="0" w:color="auto"/>
            <w:left w:val="none" w:sz="0" w:space="0" w:color="auto"/>
            <w:bottom w:val="none" w:sz="0" w:space="0" w:color="auto"/>
            <w:right w:val="none" w:sz="0" w:space="0" w:color="auto"/>
          </w:divBdr>
        </w:div>
        <w:div w:id="1524049488">
          <w:marLeft w:val="1080"/>
          <w:marRight w:val="0"/>
          <w:marTop w:val="100"/>
          <w:marBottom w:val="0"/>
          <w:divBdr>
            <w:top w:val="none" w:sz="0" w:space="0" w:color="auto"/>
            <w:left w:val="none" w:sz="0" w:space="0" w:color="auto"/>
            <w:bottom w:val="none" w:sz="0" w:space="0" w:color="auto"/>
            <w:right w:val="none" w:sz="0" w:space="0" w:color="auto"/>
          </w:divBdr>
        </w:div>
      </w:divsChild>
    </w:div>
    <w:div w:id="1963491007">
      <w:bodyDiv w:val="1"/>
      <w:marLeft w:val="0"/>
      <w:marRight w:val="0"/>
      <w:marTop w:val="0"/>
      <w:marBottom w:val="0"/>
      <w:divBdr>
        <w:top w:val="none" w:sz="0" w:space="0" w:color="auto"/>
        <w:left w:val="none" w:sz="0" w:space="0" w:color="auto"/>
        <w:bottom w:val="none" w:sz="0" w:space="0" w:color="auto"/>
        <w:right w:val="none" w:sz="0" w:space="0" w:color="auto"/>
      </w:divBdr>
    </w:div>
    <w:div w:id="20009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nban.chinhphu.vn/?pageid=27160&amp;docid=206492"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nban.chinhphu.vn/?pageid=27160&amp;docid=206492" TargetMode="Externa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Users\linhphanmai\Desktop\RIA%20-%20DTQ&#272;%20Green%20Taxanomy\Quy%20&#273;i&#803;nh%20pha&#769;p%20lua&#803;&#770;t%20ve&#770;&#768;%20TPX.4.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linhphanmai\Desktop\RIA%20-%20DTQ&#272;%20Green%20Taxanomy\Quy%20&#273;i&#803;nh%20pha&#769;p%20lua&#803;&#770;t%20ve&#770;&#768;%20TPX.4.1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linhphanmai\Desktop\RIA%20-%20DTQ&#272;%20Green%20Taxanomy\Quy%20&#273;i&#803;nh%20pha&#769;p%20lua&#803;&#770;t%20ve&#770;&#768;%20TPX.4.10.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inhphanmai\Desktop\RIA%20-%20DTQ&#272;%20Green%20Taxanomy\Quy%20&#273;i&#803;nh%20pha&#769;p%20lua&#803;&#770;t%20ve&#770;&#768;%20TPX.4.1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Tác động tích cực (lợi ích)</a:t>
            </a:r>
          </a:p>
        </c:rich>
      </c:tx>
      <c:overlay val="0"/>
      <c:spPr>
        <a:noFill/>
        <a:ln>
          <a:noFill/>
        </a:ln>
        <a:effectLst/>
      </c:spPr>
    </c:title>
    <c:autoTitleDeleted val="0"/>
    <c:plotArea>
      <c:layout/>
      <c:radarChart>
        <c:radarStyle val="marker"/>
        <c:varyColors val="0"/>
        <c:ser>
          <c:idx val="0"/>
          <c:order val="0"/>
          <c:tx>
            <c:strRef>
              <c:f>Sheet2!$I$5</c:f>
              <c:strCache>
                <c:ptCount val="1"/>
                <c:pt idx="0">
                  <c:v>PA0 (Giữ nguyên hiện hành)</c:v>
                </c:pt>
              </c:strCache>
            </c:strRef>
          </c:tx>
          <c:spPr>
            <a:ln w="28575" cap="rnd">
              <a:solidFill>
                <a:schemeClr val="accent1"/>
              </a:solidFill>
              <a:round/>
            </a:ln>
            <a:effectLst/>
          </c:spPr>
          <c:marker>
            <c:symbol val="none"/>
          </c:marker>
          <c:cat>
            <c:strRef>
              <c:f>Sheet2!$F$8:$F$12</c:f>
              <c:strCache>
                <c:ptCount val="5"/>
                <c:pt idx="0">
                  <c:v>Tác động kinh tế</c:v>
                </c:pt>
                <c:pt idx="1">
                  <c:v>Tác động xã hội</c:v>
                </c:pt>
                <c:pt idx="2">
                  <c:v>Tác động giới</c:v>
                </c:pt>
                <c:pt idx="3">
                  <c:v>Tác động TTHC</c:v>
                </c:pt>
                <c:pt idx="4">
                  <c:v>Tính đồng bộ về pháp luật</c:v>
                </c:pt>
              </c:strCache>
            </c:strRef>
          </c:cat>
          <c:val>
            <c:numRef>
              <c:f>Sheet2!$I$8:$I$12</c:f>
              <c:numCache>
                <c:formatCode>General</c:formatCode>
                <c:ptCount val="5"/>
                <c:pt idx="0">
                  <c:v>3</c:v>
                </c:pt>
                <c:pt idx="1">
                  <c:v>5</c:v>
                </c:pt>
                <c:pt idx="2">
                  <c:v>0</c:v>
                </c:pt>
                <c:pt idx="3">
                  <c:v>0</c:v>
                </c:pt>
                <c:pt idx="4">
                  <c:v>0</c:v>
                </c:pt>
              </c:numCache>
            </c:numRef>
          </c:val>
          <c:extLst>
            <c:ext xmlns:c16="http://schemas.microsoft.com/office/drawing/2014/chart" uri="{C3380CC4-5D6E-409C-BE32-E72D297353CC}">
              <c16:uniqueId val="{00000000-E3A9-E242-9D0A-955483B97D75}"/>
            </c:ext>
          </c:extLst>
        </c:ser>
        <c:ser>
          <c:idx val="1"/>
          <c:order val="1"/>
          <c:tx>
            <c:strRef>
              <c:f>Sheet2!$J$5</c:f>
              <c:strCache>
                <c:ptCount val="1"/>
                <c:pt idx="0">
                  <c:v>PA1 (như Dự thảo Quyết định)</c:v>
                </c:pt>
              </c:strCache>
            </c:strRef>
          </c:tx>
          <c:spPr>
            <a:ln w="28575" cap="rnd">
              <a:solidFill>
                <a:schemeClr val="accent2"/>
              </a:solidFill>
              <a:round/>
            </a:ln>
            <a:effectLst/>
          </c:spPr>
          <c:marker>
            <c:symbol val="none"/>
          </c:marker>
          <c:cat>
            <c:strRef>
              <c:f>Sheet2!$F$8:$F$12</c:f>
              <c:strCache>
                <c:ptCount val="5"/>
                <c:pt idx="0">
                  <c:v>Tác động kinh tế</c:v>
                </c:pt>
                <c:pt idx="1">
                  <c:v>Tác động xã hội</c:v>
                </c:pt>
                <c:pt idx="2">
                  <c:v>Tác động giới</c:v>
                </c:pt>
                <c:pt idx="3">
                  <c:v>Tác động TTHC</c:v>
                </c:pt>
                <c:pt idx="4">
                  <c:v>Tính đồng bộ về pháp luật</c:v>
                </c:pt>
              </c:strCache>
            </c:strRef>
          </c:cat>
          <c:val>
            <c:numRef>
              <c:f>Sheet2!$J$8:$J$12</c:f>
              <c:numCache>
                <c:formatCode>General</c:formatCode>
                <c:ptCount val="5"/>
                <c:pt idx="0">
                  <c:v>10</c:v>
                </c:pt>
                <c:pt idx="1">
                  <c:v>12</c:v>
                </c:pt>
                <c:pt idx="2">
                  <c:v>1</c:v>
                </c:pt>
                <c:pt idx="3">
                  <c:v>0</c:v>
                </c:pt>
                <c:pt idx="4">
                  <c:v>5</c:v>
                </c:pt>
              </c:numCache>
            </c:numRef>
          </c:val>
          <c:extLst>
            <c:ext xmlns:c16="http://schemas.microsoft.com/office/drawing/2014/chart" uri="{C3380CC4-5D6E-409C-BE32-E72D297353CC}">
              <c16:uniqueId val="{00000001-E3A9-E242-9D0A-955483B97D75}"/>
            </c:ext>
          </c:extLst>
        </c:ser>
        <c:dLbls>
          <c:showLegendKey val="0"/>
          <c:showVal val="0"/>
          <c:showCatName val="0"/>
          <c:showSerName val="0"/>
          <c:showPercent val="0"/>
          <c:showBubbleSize val="0"/>
        </c:dLbls>
        <c:axId val="253373440"/>
        <c:axId val="250830848"/>
      </c:radarChart>
      <c:catAx>
        <c:axId val="25337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830848"/>
        <c:crosses val="autoZero"/>
        <c:auto val="1"/>
        <c:lblAlgn val="ctr"/>
        <c:lblOffset val="100"/>
        <c:noMultiLvlLbl val="0"/>
      </c:catAx>
      <c:valAx>
        <c:axId val="25083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373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3">
          <a:alpha val="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Tác động tiêu cực (chi phí)</a:t>
            </a:r>
          </a:p>
        </c:rich>
      </c:tx>
      <c:overlay val="0"/>
      <c:spPr>
        <a:noFill/>
        <a:ln>
          <a:noFill/>
        </a:ln>
        <a:effectLst/>
      </c:spPr>
    </c:title>
    <c:autoTitleDeleted val="0"/>
    <c:plotArea>
      <c:layout/>
      <c:radarChart>
        <c:radarStyle val="marker"/>
        <c:varyColors val="0"/>
        <c:ser>
          <c:idx val="0"/>
          <c:order val="0"/>
          <c:tx>
            <c:strRef>
              <c:f>Sheet2!$G$5</c:f>
              <c:strCache>
                <c:ptCount val="1"/>
                <c:pt idx="0">
                  <c:v>PA0 (Giữ nguyên hiện hành)</c:v>
                </c:pt>
              </c:strCache>
            </c:strRef>
          </c:tx>
          <c:spPr>
            <a:ln w="28575" cap="rnd">
              <a:solidFill>
                <a:schemeClr val="accent1"/>
              </a:solidFill>
              <a:round/>
            </a:ln>
            <a:effectLst/>
          </c:spPr>
          <c:marker>
            <c:symbol val="none"/>
          </c:marker>
          <c:cat>
            <c:strRef>
              <c:f>Sheet2!$F$8:$F$12</c:f>
              <c:strCache>
                <c:ptCount val="5"/>
                <c:pt idx="0">
                  <c:v>Tác động kinh tế</c:v>
                </c:pt>
                <c:pt idx="1">
                  <c:v>Tác động xã hội</c:v>
                </c:pt>
                <c:pt idx="2">
                  <c:v>Tác động giới</c:v>
                </c:pt>
                <c:pt idx="3">
                  <c:v>Tác động TTHC</c:v>
                </c:pt>
                <c:pt idx="4">
                  <c:v>Tính đồng bộ về pháp luật</c:v>
                </c:pt>
              </c:strCache>
            </c:strRef>
          </c:cat>
          <c:val>
            <c:numRef>
              <c:f>Sheet2!$G$8:$G$12</c:f>
              <c:numCache>
                <c:formatCode>General</c:formatCode>
                <c:ptCount val="5"/>
                <c:pt idx="0">
                  <c:v>-11</c:v>
                </c:pt>
                <c:pt idx="1">
                  <c:v>-9</c:v>
                </c:pt>
                <c:pt idx="2">
                  <c:v>0</c:v>
                </c:pt>
                <c:pt idx="3">
                  <c:v>0</c:v>
                </c:pt>
                <c:pt idx="4">
                  <c:v>-5</c:v>
                </c:pt>
              </c:numCache>
            </c:numRef>
          </c:val>
          <c:extLst>
            <c:ext xmlns:c16="http://schemas.microsoft.com/office/drawing/2014/chart" uri="{C3380CC4-5D6E-409C-BE32-E72D297353CC}">
              <c16:uniqueId val="{00000000-1951-904F-8EB6-5FA3CC6CB4EC}"/>
            </c:ext>
          </c:extLst>
        </c:ser>
        <c:ser>
          <c:idx val="1"/>
          <c:order val="1"/>
          <c:tx>
            <c:strRef>
              <c:f>Sheet2!$H$5</c:f>
              <c:strCache>
                <c:ptCount val="1"/>
                <c:pt idx="0">
                  <c:v>PA1 (như Dự thảo Quyết định)</c:v>
                </c:pt>
              </c:strCache>
            </c:strRef>
          </c:tx>
          <c:spPr>
            <a:ln w="28575" cap="rnd">
              <a:solidFill>
                <a:schemeClr val="accent2"/>
              </a:solidFill>
              <a:round/>
            </a:ln>
            <a:effectLst/>
          </c:spPr>
          <c:marker>
            <c:symbol val="none"/>
          </c:marker>
          <c:cat>
            <c:strRef>
              <c:f>Sheet2!$F$8:$F$12</c:f>
              <c:strCache>
                <c:ptCount val="5"/>
                <c:pt idx="0">
                  <c:v>Tác động kinh tế</c:v>
                </c:pt>
                <c:pt idx="1">
                  <c:v>Tác động xã hội</c:v>
                </c:pt>
                <c:pt idx="2">
                  <c:v>Tác động giới</c:v>
                </c:pt>
                <c:pt idx="3">
                  <c:v>Tác động TTHC</c:v>
                </c:pt>
                <c:pt idx="4">
                  <c:v>Tính đồng bộ về pháp luật</c:v>
                </c:pt>
              </c:strCache>
            </c:strRef>
          </c:cat>
          <c:val>
            <c:numRef>
              <c:f>Sheet2!$H$8:$H$12</c:f>
              <c:numCache>
                <c:formatCode>General</c:formatCode>
                <c:ptCount val="5"/>
                <c:pt idx="0">
                  <c:v>-3</c:v>
                </c:pt>
                <c:pt idx="1">
                  <c:v>0</c:v>
                </c:pt>
                <c:pt idx="2">
                  <c:v>0</c:v>
                </c:pt>
                <c:pt idx="3">
                  <c:v>0</c:v>
                </c:pt>
                <c:pt idx="4">
                  <c:v>0</c:v>
                </c:pt>
              </c:numCache>
            </c:numRef>
          </c:val>
          <c:extLst>
            <c:ext xmlns:c16="http://schemas.microsoft.com/office/drawing/2014/chart" uri="{C3380CC4-5D6E-409C-BE32-E72D297353CC}">
              <c16:uniqueId val="{00000001-1951-904F-8EB6-5FA3CC6CB4EC}"/>
            </c:ext>
          </c:extLst>
        </c:ser>
        <c:dLbls>
          <c:showLegendKey val="0"/>
          <c:showVal val="0"/>
          <c:showCatName val="0"/>
          <c:showSerName val="0"/>
          <c:showPercent val="0"/>
          <c:showBubbleSize val="0"/>
        </c:dLbls>
        <c:axId val="255026688"/>
        <c:axId val="250836032"/>
      </c:radarChart>
      <c:catAx>
        <c:axId val="2550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836032"/>
        <c:crosses val="autoZero"/>
        <c:auto val="1"/>
        <c:lblAlgn val="ctr"/>
        <c:lblOffset val="100"/>
        <c:noMultiLvlLbl val="0"/>
      </c:catAx>
      <c:valAx>
        <c:axId val="25083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026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Tác động tích cực (lợi ích)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Sheet7!$G$3</c:f>
              <c:strCache>
                <c:ptCount val="1"/>
                <c:pt idx="0">
                  <c:v>PA0 (Giữ nguyên hiện hành, không quy định việc xác nhận)</c:v>
                </c:pt>
              </c:strCache>
            </c:strRef>
          </c:tx>
          <c:spPr>
            <a:ln w="28575" cap="rnd">
              <a:solidFill>
                <a:schemeClr val="accent1"/>
              </a:solidFill>
              <a:round/>
            </a:ln>
            <a:effectLst/>
          </c:spPr>
          <c:marker>
            <c:symbol val="none"/>
          </c:marker>
          <c:cat>
            <c:strRef>
              <c:f>Sheet7!$D$6:$D$10</c:f>
              <c:strCache>
                <c:ptCount val="5"/>
                <c:pt idx="0">
                  <c:v>Tác động kinh tế</c:v>
                </c:pt>
                <c:pt idx="1">
                  <c:v>Tác động xã hội</c:v>
                </c:pt>
                <c:pt idx="2">
                  <c:v>Tác động giới</c:v>
                </c:pt>
                <c:pt idx="3">
                  <c:v>Tác động TTHC</c:v>
                </c:pt>
                <c:pt idx="4">
                  <c:v>Tính đồng bộ về pháp luật</c:v>
                </c:pt>
              </c:strCache>
            </c:strRef>
          </c:cat>
          <c:val>
            <c:numRef>
              <c:f>Sheet7!$G$6:$G$10</c:f>
              <c:numCache>
                <c:formatCode>General</c:formatCode>
                <c:ptCount val="5"/>
                <c:pt idx="0">
                  <c:v>3</c:v>
                </c:pt>
                <c:pt idx="1">
                  <c:v>6</c:v>
                </c:pt>
                <c:pt idx="2">
                  <c:v>0</c:v>
                </c:pt>
                <c:pt idx="3">
                  <c:v>0</c:v>
                </c:pt>
                <c:pt idx="4">
                  <c:v>0</c:v>
                </c:pt>
              </c:numCache>
            </c:numRef>
          </c:val>
          <c:extLst>
            <c:ext xmlns:c16="http://schemas.microsoft.com/office/drawing/2014/chart" uri="{C3380CC4-5D6E-409C-BE32-E72D297353CC}">
              <c16:uniqueId val="{00000000-918F-F540-B39C-6803C6DB2485}"/>
            </c:ext>
          </c:extLst>
        </c:ser>
        <c:ser>
          <c:idx val="1"/>
          <c:order val="1"/>
          <c:tx>
            <c:strRef>
              <c:f>Sheet7!$H$3</c:f>
              <c:strCache>
                <c:ptCount val="1"/>
                <c:pt idx="0">
                  <c:v>PA1 (Quy định việc xác nhận như Dự thảo Quyết định)</c:v>
                </c:pt>
              </c:strCache>
            </c:strRef>
          </c:tx>
          <c:spPr>
            <a:ln w="28575" cap="rnd">
              <a:solidFill>
                <a:schemeClr val="accent2"/>
              </a:solidFill>
              <a:round/>
            </a:ln>
            <a:effectLst/>
          </c:spPr>
          <c:marker>
            <c:symbol val="none"/>
          </c:marker>
          <c:cat>
            <c:strRef>
              <c:f>Sheet7!$D$6:$D$10</c:f>
              <c:strCache>
                <c:ptCount val="5"/>
                <c:pt idx="0">
                  <c:v>Tác động kinh tế</c:v>
                </c:pt>
                <c:pt idx="1">
                  <c:v>Tác động xã hội</c:v>
                </c:pt>
                <c:pt idx="2">
                  <c:v>Tác động giới</c:v>
                </c:pt>
                <c:pt idx="3">
                  <c:v>Tác động TTHC</c:v>
                </c:pt>
                <c:pt idx="4">
                  <c:v>Tính đồng bộ về pháp luật</c:v>
                </c:pt>
              </c:strCache>
            </c:strRef>
          </c:cat>
          <c:val>
            <c:numRef>
              <c:f>Sheet7!$H$6:$H$10</c:f>
              <c:numCache>
                <c:formatCode>General</c:formatCode>
                <c:ptCount val="5"/>
                <c:pt idx="0">
                  <c:v>11</c:v>
                </c:pt>
                <c:pt idx="1">
                  <c:v>13</c:v>
                </c:pt>
                <c:pt idx="2">
                  <c:v>0</c:v>
                </c:pt>
                <c:pt idx="3">
                  <c:v>3</c:v>
                </c:pt>
                <c:pt idx="4">
                  <c:v>5</c:v>
                </c:pt>
              </c:numCache>
            </c:numRef>
          </c:val>
          <c:extLst>
            <c:ext xmlns:c16="http://schemas.microsoft.com/office/drawing/2014/chart" uri="{C3380CC4-5D6E-409C-BE32-E72D297353CC}">
              <c16:uniqueId val="{00000001-918F-F540-B39C-6803C6DB2485}"/>
            </c:ext>
          </c:extLst>
        </c:ser>
        <c:dLbls>
          <c:showLegendKey val="0"/>
          <c:showVal val="0"/>
          <c:showCatName val="0"/>
          <c:showSerName val="0"/>
          <c:showPercent val="0"/>
          <c:showBubbleSize val="0"/>
        </c:dLbls>
        <c:axId val="1529785999"/>
        <c:axId val="1529706319"/>
      </c:radarChart>
      <c:catAx>
        <c:axId val="1529785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706319"/>
        <c:crosses val="autoZero"/>
        <c:auto val="1"/>
        <c:lblAlgn val="ctr"/>
        <c:lblOffset val="100"/>
        <c:noMultiLvlLbl val="0"/>
      </c:catAx>
      <c:valAx>
        <c:axId val="1529706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7859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Tác động tiêu cực (chi phí)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Sheet7!$E$3</c:f>
              <c:strCache>
                <c:ptCount val="1"/>
                <c:pt idx="0">
                  <c:v>PA0 (Giữ nguyên hiện hành, không quy định việc xác nhận)</c:v>
                </c:pt>
              </c:strCache>
            </c:strRef>
          </c:tx>
          <c:spPr>
            <a:ln w="28575" cap="rnd">
              <a:solidFill>
                <a:schemeClr val="accent1"/>
              </a:solidFill>
              <a:round/>
            </a:ln>
            <a:effectLst/>
          </c:spPr>
          <c:marker>
            <c:symbol val="none"/>
          </c:marker>
          <c:cat>
            <c:strRef>
              <c:f>Sheet7!$D$6:$D$10</c:f>
              <c:strCache>
                <c:ptCount val="5"/>
                <c:pt idx="0">
                  <c:v>Tác động kinh tế</c:v>
                </c:pt>
                <c:pt idx="1">
                  <c:v>Tác động xã hội</c:v>
                </c:pt>
                <c:pt idx="2">
                  <c:v>Tác động giới</c:v>
                </c:pt>
                <c:pt idx="3">
                  <c:v>Tác động TTHC</c:v>
                </c:pt>
                <c:pt idx="4">
                  <c:v>Tính đồng bộ về pháp luật</c:v>
                </c:pt>
              </c:strCache>
            </c:strRef>
          </c:cat>
          <c:val>
            <c:numRef>
              <c:f>Sheet7!$E$6:$E$10</c:f>
              <c:numCache>
                <c:formatCode>General</c:formatCode>
                <c:ptCount val="5"/>
                <c:pt idx="0">
                  <c:v>-10</c:v>
                </c:pt>
                <c:pt idx="1">
                  <c:v>-9</c:v>
                </c:pt>
                <c:pt idx="2">
                  <c:v>0</c:v>
                </c:pt>
                <c:pt idx="3">
                  <c:v>0</c:v>
                </c:pt>
                <c:pt idx="4">
                  <c:v>-5</c:v>
                </c:pt>
              </c:numCache>
            </c:numRef>
          </c:val>
          <c:extLst>
            <c:ext xmlns:c16="http://schemas.microsoft.com/office/drawing/2014/chart" uri="{C3380CC4-5D6E-409C-BE32-E72D297353CC}">
              <c16:uniqueId val="{00000000-0748-6D45-BDF2-9375C60CEF96}"/>
            </c:ext>
          </c:extLst>
        </c:ser>
        <c:ser>
          <c:idx val="1"/>
          <c:order val="1"/>
          <c:tx>
            <c:strRef>
              <c:f>Sheet7!$F$3</c:f>
              <c:strCache>
                <c:ptCount val="1"/>
                <c:pt idx="0">
                  <c:v>PA1 (Quy định việc xác nhận như Dự thảo Quyết định)</c:v>
                </c:pt>
              </c:strCache>
            </c:strRef>
          </c:tx>
          <c:spPr>
            <a:ln w="28575" cap="rnd">
              <a:solidFill>
                <a:schemeClr val="accent2"/>
              </a:solidFill>
              <a:round/>
            </a:ln>
            <a:effectLst/>
          </c:spPr>
          <c:marker>
            <c:symbol val="none"/>
          </c:marker>
          <c:cat>
            <c:strRef>
              <c:f>Sheet7!$D$6:$D$10</c:f>
              <c:strCache>
                <c:ptCount val="5"/>
                <c:pt idx="0">
                  <c:v>Tác động kinh tế</c:v>
                </c:pt>
                <c:pt idx="1">
                  <c:v>Tác động xã hội</c:v>
                </c:pt>
                <c:pt idx="2">
                  <c:v>Tác động giới</c:v>
                </c:pt>
                <c:pt idx="3">
                  <c:v>Tác động TTHC</c:v>
                </c:pt>
                <c:pt idx="4">
                  <c:v>Tính đồng bộ về pháp luật</c:v>
                </c:pt>
              </c:strCache>
            </c:strRef>
          </c:cat>
          <c:val>
            <c:numRef>
              <c:f>Sheet7!$F$6:$F$10</c:f>
              <c:numCache>
                <c:formatCode>General</c:formatCode>
                <c:ptCount val="5"/>
                <c:pt idx="0">
                  <c:v>-2</c:v>
                </c:pt>
                <c:pt idx="1">
                  <c:v>-1</c:v>
                </c:pt>
                <c:pt idx="2">
                  <c:v>0</c:v>
                </c:pt>
                <c:pt idx="3">
                  <c:v>-1</c:v>
                </c:pt>
                <c:pt idx="4">
                  <c:v>0</c:v>
                </c:pt>
              </c:numCache>
            </c:numRef>
          </c:val>
          <c:extLst>
            <c:ext xmlns:c16="http://schemas.microsoft.com/office/drawing/2014/chart" uri="{C3380CC4-5D6E-409C-BE32-E72D297353CC}">
              <c16:uniqueId val="{00000001-0748-6D45-BDF2-9375C60CEF96}"/>
            </c:ext>
          </c:extLst>
        </c:ser>
        <c:dLbls>
          <c:showLegendKey val="0"/>
          <c:showVal val="0"/>
          <c:showCatName val="0"/>
          <c:showSerName val="0"/>
          <c:showPercent val="0"/>
          <c:showBubbleSize val="0"/>
        </c:dLbls>
        <c:axId val="1436301391"/>
        <c:axId val="1423708031"/>
      </c:radarChart>
      <c:catAx>
        <c:axId val="1436301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708031"/>
        <c:crosses val="autoZero"/>
        <c:auto val="1"/>
        <c:lblAlgn val="ctr"/>
        <c:lblOffset val="100"/>
        <c:noMultiLvlLbl val="0"/>
      </c:catAx>
      <c:valAx>
        <c:axId val="142370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301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FC01B-A92A-4761-87D1-45D32425FF1F}">
  <ds:schemaRefs>
    <ds:schemaRef ds:uri="http://schemas.openxmlformats.org/officeDocument/2006/bibliography"/>
  </ds:schemaRefs>
</ds:datastoreItem>
</file>

<file path=customXml/itemProps2.xml><?xml version="1.0" encoding="utf-8"?>
<ds:datastoreItem xmlns:ds="http://schemas.openxmlformats.org/officeDocument/2006/customXml" ds:itemID="{04885051-4688-4762-A353-21CD6C068808}"/>
</file>

<file path=customXml/itemProps3.xml><?xml version="1.0" encoding="utf-8"?>
<ds:datastoreItem xmlns:ds="http://schemas.openxmlformats.org/officeDocument/2006/customXml" ds:itemID="{75BE6F9D-6345-4ED3-A7DA-4643693B1162}"/>
</file>

<file path=customXml/itemProps4.xml><?xml version="1.0" encoding="utf-8"?>
<ds:datastoreItem xmlns:ds="http://schemas.openxmlformats.org/officeDocument/2006/customXml" ds:itemID="{77A9ABF1-0CEE-4100-A921-106CCB6E1BF1}"/>
</file>

<file path=docProps/app.xml><?xml version="1.0" encoding="utf-8"?>
<Properties xmlns="http://schemas.openxmlformats.org/officeDocument/2006/extended-properties" xmlns:vt="http://schemas.openxmlformats.org/officeDocument/2006/docPropsVTypes">
  <Template>Normal</Template>
  <TotalTime>3</TotalTime>
  <Pages>1</Pages>
  <Words>13973</Words>
  <Characters>79650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LVMANH</cp:lastModifiedBy>
  <cp:revision>6</cp:revision>
  <cp:lastPrinted>2022-11-27T02:17:00Z</cp:lastPrinted>
  <dcterms:created xsi:type="dcterms:W3CDTF">2022-11-30T07:47:00Z</dcterms:created>
  <dcterms:modified xsi:type="dcterms:W3CDTF">2022-11-30T08:45:00Z</dcterms:modified>
</cp:coreProperties>
</file>